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8"/>
          <w:sz w:val="52"/>
        </w:rPr>
        <w:t>Evaluación de Viabilidad Económica</w:t>
        <w:br/>
        <w:t>y Gestión de Riesgos</w:t>
      </w:r>
    </w:p>
    <w:p>
      <w:pPr>
        <w:jc w:val="center"/>
      </w:pPr>
      <w:r>
        <w:rPr>
          <w:rFonts w:ascii="Arial" w:hAnsi="Arial"/>
          <w:color w:val="595959"/>
          <w:sz w:val="30"/>
        </w:rPr>
        <w:t>Proyecto de Inteligencia Artificial:</w:t>
        <w:br/>
        <w:t>Sistema de Detección de Fraudes</w:t>
      </w:r>
    </w:p>
    <w:p>
      <w:pPr>
        <w:jc w:val="center"/>
        <w:pBdr>
          <w:bottom w:val="single" w:sz="12" w:space="1" w:color="1F4E78"/>
        </w:pBdr>
      </w:pPr>
    </w:p>
    <w:p/>
    <w:p>
      <w:pPr>
        <w:jc w:val="center"/>
      </w:pPr>
      <w:r>
        <w:rPr>
          <w:rFonts w:ascii="Arial" w:hAnsi="Arial"/>
          <w:i/>
          <w:color w:val="222222"/>
          <w:sz w:val="22"/>
        </w:rPr>
        <w:t>Integración del análisis financiero (ROI), el mapa de riesgos y las estrategias de mitigación</w:t>
      </w:r>
    </w:p>
    <w:p/>
    <w:p/>
    <w:tbl>
      <w:tblPr>
        <w:tblW w:type="auto" w:w="0"/>
        <w:tblLayout w:type="fixed"/>
        <w:tblLook w:firstColumn="1" w:firstRow="1" w:lastColumn="0" w:lastRow="0" w:noHBand="0" w:noVBand="1" w:val="04A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3168"/>
            <w:vAlign w:val="center"/>
            <w:shd w:val="clear" w:color="auto" w:fill="EEF3FA"/>
          </w:tcPr>
          <w:p>
            <w:pPr>
              <w:spacing w:after="20" w:before="20"/>
              <w:jc w:val="left"/>
            </w:pPr>
            <w:r/>
            <w:r>
              <w:rPr>
                <w:rFonts w:ascii="Arial" w:hAnsi="Arial"/>
                <w:b/>
                <w:i w:val="0"/>
                <w:color w:val="1F4E78"/>
                <w:sz w:val="20"/>
              </w:rPr>
              <w:t>Tipo de proyecto</w:t>
            </w:r>
          </w:p>
        </w:tc>
        <w:tc>
          <w:tcPr>
            <w:tcW w:type="dxa" w:w="5184"/>
            <w:vAlign w:val="center"/>
          </w:tcPr>
          <w:p>
            <w:pPr>
              <w:spacing w:after="20" w:before="20"/>
              <w:jc w:val="left"/>
            </w:pPr>
            <w:r/>
            <w:r>
              <w:rPr>
                <w:rFonts w:ascii="Arial" w:hAnsi="Arial"/>
                <w:b w:val="0"/>
                <w:i w:val="0"/>
                <w:sz w:val="20"/>
              </w:rPr>
              <w:t>Sistema de detección de fraudes con IA (machine learning)</w:t>
            </w:r>
          </w:p>
        </w:tc>
      </w:tr>
      <w:tr>
        <w:tc>
          <w:tcPr>
            <w:tcW w:type="dxa" w:w="3168"/>
            <w:vAlign w:val="center"/>
            <w:shd w:val="clear" w:color="auto" w:fill="EEF3FA"/>
          </w:tcPr>
          <w:p>
            <w:pPr>
              <w:spacing w:after="20" w:before="20"/>
              <w:jc w:val="left"/>
            </w:pPr>
            <w:r/>
            <w:r>
              <w:rPr>
                <w:rFonts w:ascii="Arial" w:hAnsi="Arial"/>
                <w:b/>
                <w:i w:val="0"/>
                <w:color w:val="1F4E78"/>
                <w:sz w:val="20"/>
              </w:rPr>
              <w:t>Organización</w:t>
            </w:r>
          </w:p>
        </w:tc>
        <w:tc>
          <w:tcPr>
            <w:tcW w:type="dxa" w:w="5184"/>
            <w:vAlign w:val="center"/>
          </w:tcPr>
          <w:p>
            <w:pPr>
              <w:spacing w:after="20" w:before="20"/>
              <w:jc w:val="left"/>
            </w:pPr>
            <w:r/>
            <w:r>
              <w:rPr>
                <w:rFonts w:ascii="Arial" w:hAnsi="Arial"/>
                <w:b w:val="0"/>
                <w:i w:val="0"/>
                <w:sz w:val="20"/>
              </w:rPr>
              <w:t>Empresa mediana (sector pagos / fintech) — México</w:t>
            </w:r>
          </w:p>
        </w:tc>
      </w:tr>
      <w:tr>
        <w:tc>
          <w:tcPr>
            <w:tcW w:type="dxa" w:w="3168"/>
            <w:vAlign w:val="center"/>
            <w:shd w:val="clear" w:color="auto" w:fill="EEF3FA"/>
          </w:tcPr>
          <w:p>
            <w:pPr>
              <w:spacing w:after="20" w:before="20"/>
              <w:jc w:val="left"/>
            </w:pPr>
            <w:r/>
            <w:r>
              <w:rPr>
                <w:rFonts w:ascii="Arial" w:hAnsi="Arial"/>
                <w:b/>
                <w:i w:val="0"/>
                <w:color w:val="1F4E78"/>
                <w:sz w:val="20"/>
              </w:rPr>
              <w:t>Moneda y horizonte</w:t>
            </w:r>
          </w:p>
        </w:tc>
        <w:tc>
          <w:tcPr>
            <w:tcW w:type="dxa" w:w="5184"/>
            <w:vAlign w:val="center"/>
          </w:tcPr>
          <w:p>
            <w:pPr>
              <w:spacing w:after="20" w:before="20"/>
              <w:jc w:val="left"/>
            </w:pPr>
            <w:r/>
            <w:r>
              <w:rPr>
                <w:rFonts w:ascii="Arial" w:hAnsi="Arial"/>
                <w:b w:val="0"/>
                <w:i w:val="0"/>
                <w:sz w:val="20"/>
              </w:rPr>
              <w:t>Pesos mexicanos (MXN) · 3 años</w:t>
            </w:r>
          </w:p>
        </w:tc>
      </w:tr>
      <w:tr>
        <w:tc>
          <w:tcPr>
            <w:tcW w:type="dxa" w:w="3168"/>
            <w:vAlign w:val="center"/>
            <w:shd w:val="clear" w:color="auto" w:fill="EEF3FA"/>
          </w:tcPr>
          <w:p>
            <w:pPr>
              <w:spacing w:after="20" w:before="20"/>
              <w:jc w:val="left"/>
            </w:pPr>
            <w:r/>
            <w:r>
              <w:rPr>
                <w:rFonts w:ascii="Arial" w:hAnsi="Arial"/>
                <w:b/>
                <w:i w:val="0"/>
                <w:color w:val="1F4E78"/>
                <w:sz w:val="20"/>
              </w:rPr>
              <w:t>Elaborado por</w:t>
            </w:r>
          </w:p>
        </w:tc>
        <w:tc>
          <w:tcPr>
            <w:tcW w:type="dxa" w:w="5184"/>
            <w:vAlign w:val="center"/>
          </w:tcPr>
          <w:p>
            <w:pPr>
              <w:spacing w:after="20" w:before="20"/>
              <w:jc w:val="left"/>
            </w:pPr>
            <w:r/>
            <w:r>
              <w:rPr>
                <w:rFonts w:ascii="Arial" w:hAnsi="Arial"/>
                <w:b w:val="0"/>
                <w:i w:val="0"/>
                <w:sz w:val="20"/>
              </w:rPr>
              <w:t>Agustín Gerardo Jardínez Arciniega</w:t>
            </w:r>
          </w:p>
        </w:tc>
      </w:tr>
      <w:tr>
        <w:tc>
          <w:tcPr>
            <w:tcW w:type="dxa" w:w="3168"/>
            <w:vAlign w:val="center"/>
            <w:shd w:val="clear" w:color="auto" w:fill="EEF3FA"/>
          </w:tcPr>
          <w:p>
            <w:pPr>
              <w:spacing w:after="20" w:before="20"/>
              <w:jc w:val="left"/>
            </w:pPr>
            <w:r/>
            <w:r>
              <w:rPr>
                <w:rFonts w:ascii="Arial" w:hAnsi="Arial"/>
                <w:b/>
                <w:i w:val="0"/>
                <w:color w:val="1F4E78"/>
                <w:sz w:val="20"/>
              </w:rPr>
              <w:t>Fecha</w:t>
            </w:r>
          </w:p>
        </w:tc>
        <w:tc>
          <w:tcPr>
            <w:tcW w:type="dxa" w:w="5184"/>
            <w:vAlign w:val="center"/>
          </w:tcPr>
          <w:p>
            <w:pPr>
              <w:spacing w:after="20" w:before="20"/>
              <w:jc w:val="left"/>
            </w:pPr>
            <w:r/>
            <w:r>
              <w:rPr>
                <w:rFonts w:ascii="Arial" w:hAnsi="Arial"/>
                <w:b w:val="0"/>
                <w:i w:val="0"/>
                <w:sz w:val="20"/>
              </w:rPr>
              <w:t>12 de junio de 2026</w:t>
            </w:r>
          </w:p>
        </w:tc>
      </w:tr>
    </w:tbl>
    <w:p>
      <w:r>
        <w:br w:type="page"/>
      </w:r>
    </w:p>
    <w:p>
      <w:pPr>
        <w:pStyle w:val="Heading1"/>
      </w:pPr>
      <w:r>
        <w:t>1. Resumen ejecutivo</w:t>
      </w:r>
    </w:p>
    <w:p>
      <w:pPr>
        <w:spacing w:after="120" w:before="0"/>
        <w:jc w:val="both"/>
      </w:pPr>
      <w:r>
        <w:rPr>
          <w:rFonts w:ascii="Arial" w:hAnsi="Arial"/>
          <w:b w:val="0"/>
          <w:i w:val="0"/>
          <w:sz w:val="21"/>
        </w:rPr>
        <w:t>Este documento evalúa la viabilidad económica y los riesgos de implementar un sistema de inteligencia artificial para la detección de fraudes en una empresa mediana del sector de pagos en México. El análisis integra tres componentes: la simulación financiera de costos y beneficios (Excel), el mapa de riesgos por probabilidad e impacto, y el plan de estrategias de mitigación que aquí se desarrolla.</w:t>
      </w:r>
    </w:p>
    <w:p>
      <w:pPr>
        <w:spacing w:after="120" w:before="0"/>
        <w:jc w:val="both"/>
      </w:pPr>
      <w:r>
        <w:rPr>
          <w:rFonts w:ascii="Arial" w:hAnsi="Arial"/>
          <w:b w:val="0"/>
          <w:i w:val="0"/>
          <w:sz w:val="21"/>
        </w:rPr>
        <w:t>Desde la perspectiva financiera, el proyecto es claramente viable. Con una inversión inicial de $6,400,000 MXN y costos recurrentes de $3,100,000 MXN anuales, el sistema genera beneficios estimados de $11,100,000 MXN anuales a plena capacidad. En un horizonte de tres años, esto se traduce en un retorno de inversión (ROI) del 94.4%, un periodo de recuperación (payback) de 1.15 años (alrededor de 14 meses), un Valor Presente Neto (VPN) de $10,336,972 MXN a una tasa de descuento del 12% y una Tasa Interna de Retorno (TIR) del 85.4%.</w:t>
      </w:r>
    </w:p>
    <w:p>
      <w:pPr>
        <w:spacing w:after="120" w:before="0"/>
        <w:jc w:val="both"/>
      </w:pPr>
      <w:r>
        <w:rPr>
          <w:rFonts w:ascii="Arial" w:hAnsi="Arial"/>
          <w:b w:val="0"/>
          <w:i w:val="0"/>
          <w:sz w:val="21"/>
        </w:rPr>
        <w:t>Desde la perspectiva de riesgos, se identificaron 13 riesgos asociados al proyecto, de los cuales 3 son críticos (sesgo algorítmico, explicabilidad insuficiente y falsos negativos) y 5 son altos. La conclusión es que el proyecto debe aprobarse, condicionado a la ejecución del plan de mitigación y a la asignación de recursos especializados sobre los riesgos críticos. Como se demuestra en el análisis de sensibilidad, incluso en un escenario adverso el proyecto se mantiene rentable, lo que confirma la solidez de la propuesta.</w:t>
      </w:r>
    </w:p>
    <w:p>
      <w:pPr>
        <w:pStyle w:val="Heading1"/>
      </w:pPr>
      <w:r>
        <w:t>2. Descripción del proyecto y objetivo</w:t>
      </w:r>
    </w:p>
    <w:p>
      <w:pPr>
        <w:spacing w:after="120" w:before="0"/>
        <w:jc w:val="both"/>
      </w:pPr>
      <w:r>
        <w:rPr>
          <w:rFonts w:ascii="Arial" w:hAnsi="Arial"/>
          <w:b w:val="0"/>
          <w:i w:val="0"/>
          <w:sz w:val="21"/>
        </w:rPr>
        <w:t>El proyecto consiste en desarrollar e implementar un modelo de machine learning capaz de analizar patrones transaccionales en tiempo real para identificar y bloquear operaciones potencialmente fraudulentas. El sistema se integra con la plataforma de pagos de la organización y combina el modelo predictivo con reglas de negocio y revisión humana de casos límite.</w:t>
      </w:r>
    </w:p>
    <w:p>
      <w:pPr>
        <w:spacing w:after="120" w:before="0"/>
        <w:jc w:val="both"/>
      </w:pPr>
      <w:r>
        <w:rPr>
          <w:rFonts w:ascii="Arial" w:hAnsi="Arial"/>
          <w:b w:val="0"/>
          <w:i w:val="0"/>
          <w:sz w:val="21"/>
        </w:rPr>
        <w:t>El objetivo es triple: (1) reducir las pérdidas económicas por fraude mediante una detección más temprana y precisa; (2) disminuir los costos operativos al automatizar el triage de alertas que hoy se revisan manualmente; y (3) mejorar la experiencia del cliente al reducir los falsos positivos que bloquean transacciones legítimas. El alcance incluye la infraestructura de datos, el desarrollo del modelo, su despliegue productivo y su mantenimiento continuo durante el horizonte de análisis.</w:t>
      </w:r>
    </w:p>
    <w:p>
      <w:pPr>
        <w:pStyle w:val="Heading1"/>
      </w:pPr>
      <w:r>
        <w:t>3. Análisis de retorno de inversión (ROI)</w:t>
      </w:r>
    </w:p>
    <w:p>
      <w:pPr>
        <w:spacing w:after="120" w:before="0"/>
        <w:jc w:val="both"/>
      </w:pPr>
      <w:r>
        <w:rPr>
          <w:rFonts w:ascii="Arial" w:hAnsi="Arial"/>
          <w:b w:val="0"/>
          <w:i w:val="0"/>
          <w:sz w:val="21"/>
        </w:rPr>
        <w:t>La simulación financiera (detallada en el archivo de Excel adjunto) consolida los costos tangibles e intangibles —infraestructura, datos, talento, herramientas y cumplimiento— y los beneficios tangibles e intangibles del proyecto. Por criterio conservador, los beneficios intangibles (confianza del cliente, reputación, cumplimiento) no se monetizan en el cálculo del ROI; refuerzan cualitativamente la decisión. Los indicadores resultantes son los siguientes: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4608"/>
            <w:vAlign w:val="center"/>
            <w:shd w:val="clear" w:color="auto" w:fill="1F4E78"/>
          </w:tcPr>
          <w:p>
            <w:pPr>
              <w:spacing w:after="20" w:before="20"/>
              <w:jc w:val="center"/>
            </w:pPr>
            <w:r/>
            <w:r>
              <w:rPr>
                <w:rFonts w:ascii="Arial" w:hAnsi="Arial"/>
                <w:b/>
                <w:i w:val="0"/>
                <w:color w:val="FFFFFF"/>
                <w:sz w:val="19"/>
              </w:rPr>
              <w:t>Indicador financiero (MXN)</w:t>
            </w:r>
          </w:p>
        </w:tc>
        <w:tc>
          <w:tcPr>
            <w:tcW w:type="dxa" w:w="3024"/>
            <w:vAlign w:val="center"/>
            <w:shd w:val="clear" w:color="auto" w:fill="1F4E78"/>
          </w:tcPr>
          <w:p>
            <w:pPr>
              <w:spacing w:after="20" w:before="20"/>
              <w:jc w:val="center"/>
            </w:pPr>
            <w:r/>
            <w:r>
              <w:rPr>
                <w:rFonts w:ascii="Arial" w:hAnsi="Arial"/>
                <w:b/>
                <w:i w:val="0"/>
                <w:color w:val="FFFFFF"/>
                <w:sz w:val="19"/>
              </w:rPr>
              <w:t>Valor</w:t>
            </w:r>
          </w:p>
        </w:tc>
        <w:tc>
          <w:tcPr>
            <w:tcW w:type="dxa" w:w="5832"/>
            <w:vAlign w:val="center"/>
            <w:shd w:val="clear" w:color="auto" w:fill="1F4E78"/>
          </w:tcPr>
          <w:p>
            <w:pPr>
              <w:spacing w:after="20" w:before="20"/>
              <w:jc w:val="center"/>
            </w:pPr>
            <w:r/>
            <w:r>
              <w:rPr>
                <w:rFonts w:ascii="Arial" w:hAnsi="Arial"/>
                <w:b/>
                <w:i w:val="0"/>
                <w:color w:val="FFFFFF"/>
                <w:sz w:val="19"/>
              </w:rPr>
              <w:t>Interpretación</w:t>
            </w:r>
          </w:p>
        </w:tc>
      </w:tr>
      <w:tr>
        <w:tc>
          <w:tcPr>
            <w:tcW w:type="dxa" w:w="3120"/>
            <w:vAlign w:val="center"/>
          </w:tcPr>
          <w:p>
            <w:pPr>
              <w:spacing w:after="20" w:before="20"/>
              <w:jc w:val="left"/>
            </w:pPr>
            <w:r/>
            <w:r>
              <w:rPr>
                <w:rFonts w:ascii="Arial" w:hAnsi="Arial"/>
                <w:b/>
                <w:i w:val="0"/>
                <w:sz w:val="19"/>
              </w:rPr>
              <w:t>Inversión inicial (Año 0)</w:t>
            </w:r>
          </w:p>
        </w:tc>
        <w:tc>
          <w:tcPr>
            <w:tcW w:type="dxa" w:w="3120"/>
            <w:vAlign w:val="center"/>
            <w:shd w:val="clear" w:color="auto" w:fill="EEF3FA"/>
          </w:tcPr>
          <w:p>
            <w:pPr>
              <w:spacing w:after="20" w:before="20"/>
              <w:jc w:val="center"/>
            </w:pPr>
            <w:r/>
            <w:r>
              <w:rPr>
                <w:rFonts w:ascii="Arial" w:hAnsi="Arial"/>
                <w:b/>
                <w:i w:val="0"/>
                <w:color w:val="1F4E78"/>
                <w:sz w:val="19"/>
              </w:rPr>
              <w:t>$6,400,000</w:t>
            </w:r>
          </w:p>
        </w:tc>
        <w:tc>
          <w:tcPr>
            <w:tcW w:type="dxa" w:w="3120"/>
            <w:vAlign w:val="center"/>
          </w:tcPr>
          <w:p>
            <w:pPr>
              <w:spacing w:after="20" w:before="20"/>
              <w:jc w:val="left"/>
            </w:pPr>
            <w:r/>
            <w:r>
              <w:rPr>
                <w:rFonts w:ascii="Arial" w:hAnsi="Arial"/>
                <w:b w:val="0"/>
                <w:i w:val="0"/>
                <w:sz w:val="18"/>
              </w:rPr>
              <w:t>Desembolso único para construir el sistema</w:t>
            </w:r>
          </w:p>
        </w:tc>
      </w:tr>
      <w:tr>
        <w:tc>
          <w:tcPr>
            <w:tcW w:type="dxa" w:w="3120"/>
            <w:vAlign w:val="center"/>
          </w:tcPr>
          <w:p>
            <w:pPr>
              <w:spacing w:after="20" w:before="20"/>
              <w:jc w:val="left"/>
            </w:pPr>
            <w:r/>
            <w:r>
              <w:rPr>
                <w:rFonts w:ascii="Arial" w:hAnsi="Arial"/>
                <w:b/>
                <w:i w:val="0"/>
                <w:sz w:val="19"/>
              </w:rPr>
              <w:t>Costo recurrente anual (OPEX)</w:t>
            </w:r>
          </w:p>
        </w:tc>
        <w:tc>
          <w:tcPr>
            <w:tcW w:type="dxa" w:w="3120"/>
            <w:vAlign w:val="center"/>
            <w:shd w:val="clear" w:color="auto" w:fill="EEF3FA"/>
          </w:tcPr>
          <w:p>
            <w:pPr>
              <w:spacing w:after="20" w:before="20"/>
              <w:jc w:val="center"/>
            </w:pPr>
            <w:r/>
            <w:r>
              <w:rPr>
                <w:rFonts w:ascii="Arial" w:hAnsi="Arial"/>
                <w:b/>
                <w:i w:val="0"/>
                <w:color w:val="1F4E78"/>
                <w:sz w:val="19"/>
              </w:rPr>
              <w:t>$3,100,000</w:t>
            </w:r>
          </w:p>
        </w:tc>
        <w:tc>
          <w:tcPr>
            <w:tcW w:type="dxa" w:w="3120"/>
            <w:vAlign w:val="center"/>
          </w:tcPr>
          <w:p>
            <w:pPr>
              <w:spacing w:after="20" w:before="20"/>
              <w:jc w:val="left"/>
            </w:pPr>
            <w:r/>
            <w:r>
              <w:rPr>
                <w:rFonts w:ascii="Arial" w:hAnsi="Arial"/>
                <w:b w:val="0"/>
                <w:i w:val="0"/>
                <w:sz w:val="18"/>
              </w:rPr>
              <w:t>Operación y mantenimiento por año</w:t>
            </w:r>
          </w:p>
        </w:tc>
      </w:tr>
      <w:tr>
        <w:tc>
          <w:tcPr>
            <w:tcW w:type="dxa" w:w="3120"/>
            <w:vAlign w:val="center"/>
          </w:tcPr>
          <w:p>
            <w:pPr>
              <w:spacing w:after="20" w:before="20"/>
              <w:jc w:val="left"/>
            </w:pPr>
            <w:r/>
            <w:r>
              <w:rPr>
                <w:rFonts w:ascii="Arial" w:hAnsi="Arial"/>
                <w:b/>
                <w:i w:val="0"/>
                <w:sz w:val="19"/>
              </w:rPr>
              <w:t>Costos totales (3 años)</w:t>
            </w:r>
          </w:p>
        </w:tc>
        <w:tc>
          <w:tcPr>
            <w:tcW w:type="dxa" w:w="3120"/>
            <w:vAlign w:val="center"/>
            <w:shd w:val="clear" w:color="auto" w:fill="EEF3FA"/>
          </w:tcPr>
          <w:p>
            <w:pPr>
              <w:spacing w:after="20" w:before="20"/>
              <w:jc w:val="center"/>
            </w:pPr>
            <w:r/>
            <w:r>
              <w:rPr>
                <w:rFonts w:ascii="Arial" w:hAnsi="Arial"/>
                <w:b/>
                <w:i w:val="0"/>
                <w:color w:val="1F4E78"/>
                <w:sz w:val="19"/>
              </w:rPr>
              <w:t>$15,700,000</w:t>
            </w:r>
          </w:p>
        </w:tc>
        <w:tc>
          <w:tcPr>
            <w:tcW w:type="dxa" w:w="3120"/>
            <w:vAlign w:val="center"/>
          </w:tcPr>
          <w:p>
            <w:pPr>
              <w:spacing w:after="20" w:before="20"/>
              <w:jc w:val="left"/>
            </w:pPr>
            <w:r/>
            <w:r>
              <w:rPr>
                <w:rFonts w:ascii="Arial" w:hAnsi="Arial"/>
                <w:b w:val="0"/>
                <w:i w:val="0"/>
                <w:sz w:val="18"/>
              </w:rPr>
              <w:t>Inversión inicial + 3 años de operación</w:t>
            </w:r>
          </w:p>
        </w:tc>
      </w:tr>
      <w:tr>
        <w:tc>
          <w:tcPr>
            <w:tcW w:type="dxa" w:w="3120"/>
            <w:vAlign w:val="center"/>
          </w:tcPr>
          <w:p>
            <w:pPr>
              <w:spacing w:after="20" w:before="20"/>
              <w:jc w:val="left"/>
            </w:pPr>
            <w:r/>
            <w:r>
              <w:rPr>
                <w:rFonts w:ascii="Arial" w:hAnsi="Arial"/>
                <w:b/>
                <w:i w:val="0"/>
                <w:sz w:val="19"/>
              </w:rPr>
              <w:t>Beneficios totales (3 años)</w:t>
            </w:r>
          </w:p>
        </w:tc>
        <w:tc>
          <w:tcPr>
            <w:tcW w:type="dxa" w:w="3120"/>
            <w:vAlign w:val="center"/>
            <w:shd w:val="clear" w:color="auto" w:fill="EEF3FA"/>
          </w:tcPr>
          <w:p>
            <w:pPr>
              <w:spacing w:after="20" w:before="20"/>
              <w:jc w:val="center"/>
            </w:pPr>
            <w:r/>
            <w:r>
              <w:rPr>
                <w:rFonts w:ascii="Arial" w:hAnsi="Arial"/>
                <w:b/>
                <w:i w:val="0"/>
                <w:color w:val="1F4E78"/>
                <w:sz w:val="19"/>
              </w:rPr>
              <w:t>$30,525,000</w:t>
            </w:r>
          </w:p>
        </w:tc>
        <w:tc>
          <w:tcPr>
            <w:tcW w:type="dxa" w:w="3120"/>
            <w:vAlign w:val="center"/>
          </w:tcPr>
          <w:p>
            <w:pPr>
              <w:spacing w:after="20" w:before="20"/>
              <w:jc w:val="left"/>
            </w:pPr>
            <w:r/>
            <w:r>
              <w:rPr>
                <w:rFonts w:ascii="Arial" w:hAnsi="Arial"/>
                <w:b w:val="0"/>
                <w:i w:val="0"/>
                <w:sz w:val="18"/>
              </w:rPr>
              <w:t>Ahorros y recuperaciones (con rampa de adopción)</w:t>
            </w:r>
          </w:p>
        </w:tc>
      </w:tr>
      <w:tr>
        <w:tc>
          <w:tcPr>
            <w:tcW w:type="dxa" w:w="3120"/>
            <w:vAlign w:val="center"/>
          </w:tcPr>
          <w:p>
            <w:pPr>
              <w:spacing w:after="20" w:before="20"/>
              <w:jc w:val="left"/>
            </w:pPr>
            <w:r/>
            <w:r>
              <w:rPr>
                <w:rFonts w:ascii="Arial" w:hAnsi="Arial"/>
                <w:b/>
                <w:i w:val="0"/>
                <w:sz w:val="19"/>
              </w:rPr>
              <w:t>Beneficio neto (3 años)</w:t>
            </w:r>
          </w:p>
        </w:tc>
        <w:tc>
          <w:tcPr>
            <w:tcW w:type="dxa" w:w="3120"/>
            <w:vAlign w:val="center"/>
            <w:shd w:val="clear" w:color="auto" w:fill="EEF3FA"/>
          </w:tcPr>
          <w:p>
            <w:pPr>
              <w:spacing w:after="20" w:before="20"/>
              <w:jc w:val="center"/>
            </w:pPr>
            <w:r/>
            <w:r>
              <w:rPr>
                <w:rFonts w:ascii="Arial" w:hAnsi="Arial"/>
                <w:b/>
                <w:i w:val="0"/>
                <w:color w:val="1F4E78"/>
                <w:sz w:val="19"/>
              </w:rPr>
              <w:t>$14,825,000</w:t>
            </w:r>
          </w:p>
        </w:tc>
        <w:tc>
          <w:tcPr>
            <w:tcW w:type="dxa" w:w="3120"/>
            <w:vAlign w:val="center"/>
          </w:tcPr>
          <w:p>
            <w:pPr>
              <w:spacing w:after="20" w:before="20"/>
              <w:jc w:val="left"/>
            </w:pPr>
            <w:r/>
            <w:r>
              <w:rPr>
                <w:rFonts w:ascii="Arial" w:hAnsi="Arial"/>
                <w:b w:val="0"/>
                <w:i w:val="0"/>
                <w:sz w:val="18"/>
              </w:rPr>
              <w:t>Valor económico neto generado</w:t>
            </w:r>
          </w:p>
        </w:tc>
      </w:tr>
      <w:tr>
        <w:tc>
          <w:tcPr>
            <w:tcW w:type="dxa" w:w="3120"/>
            <w:vAlign w:val="center"/>
          </w:tcPr>
          <w:p>
            <w:pPr>
              <w:spacing w:after="20" w:before="20"/>
              <w:jc w:val="left"/>
            </w:pPr>
            <w:r/>
            <w:r>
              <w:rPr>
                <w:rFonts w:ascii="Arial" w:hAnsi="Arial"/>
                <w:b/>
                <w:i w:val="0"/>
                <w:sz w:val="19"/>
              </w:rPr>
              <w:t>ROI (3 años)</w:t>
            </w:r>
          </w:p>
        </w:tc>
        <w:tc>
          <w:tcPr>
            <w:tcW w:type="dxa" w:w="3120"/>
            <w:vAlign w:val="center"/>
            <w:shd w:val="clear" w:color="auto" w:fill="EEF3FA"/>
          </w:tcPr>
          <w:p>
            <w:pPr>
              <w:spacing w:after="20" w:before="20"/>
              <w:jc w:val="center"/>
            </w:pPr>
            <w:r/>
            <w:r>
              <w:rPr>
                <w:rFonts w:ascii="Arial" w:hAnsi="Arial"/>
                <w:b/>
                <w:i w:val="0"/>
                <w:color w:val="1F4E78"/>
                <w:sz w:val="19"/>
              </w:rPr>
              <w:t>94.4%</w:t>
            </w:r>
          </w:p>
        </w:tc>
        <w:tc>
          <w:tcPr>
            <w:tcW w:type="dxa" w:w="3120"/>
            <w:vAlign w:val="center"/>
          </w:tcPr>
          <w:p>
            <w:pPr>
              <w:spacing w:after="20" w:before="20"/>
              <w:jc w:val="left"/>
            </w:pPr>
            <w:r/>
            <w:r>
              <w:rPr>
                <w:rFonts w:ascii="Arial" w:hAnsi="Arial"/>
                <w:b w:val="0"/>
                <w:i w:val="0"/>
                <w:sz w:val="18"/>
              </w:rPr>
              <w:t>Beneficio neto / costos totales</w:t>
            </w:r>
          </w:p>
        </w:tc>
      </w:tr>
      <w:tr>
        <w:tc>
          <w:tcPr>
            <w:tcW w:type="dxa" w:w="3120"/>
            <w:vAlign w:val="center"/>
          </w:tcPr>
          <w:p>
            <w:pPr>
              <w:spacing w:after="20" w:before="20"/>
              <w:jc w:val="left"/>
            </w:pPr>
            <w:r/>
            <w:r>
              <w:rPr>
                <w:rFonts w:ascii="Arial" w:hAnsi="Arial"/>
                <w:b/>
                <w:i w:val="0"/>
                <w:sz w:val="19"/>
              </w:rPr>
              <w:t>Periodo de recuperación (Payback)</w:t>
            </w:r>
          </w:p>
        </w:tc>
        <w:tc>
          <w:tcPr>
            <w:tcW w:type="dxa" w:w="3120"/>
            <w:vAlign w:val="center"/>
            <w:shd w:val="clear" w:color="auto" w:fill="EEF3FA"/>
          </w:tcPr>
          <w:p>
            <w:pPr>
              <w:spacing w:after="20" w:before="20"/>
              <w:jc w:val="center"/>
            </w:pPr>
            <w:r/>
            <w:r>
              <w:rPr>
                <w:rFonts w:ascii="Arial" w:hAnsi="Arial"/>
                <w:b/>
                <w:i w:val="0"/>
                <w:color w:val="1F4E78"/>
                <w:sz w:val="19"/>
              </w:rPr>
              <w:t>1.15 años (≈14 meses)</w:t>
            </w:r>
          </w:p>
        </w:tc>
        <w:tc>
          <w:tcPr>
            <w:tcW w:type="dxa" w:w="3120"/>
            <w:vAlign w:val="center"/>
          </w:tcPr>
          <w:p>
            <w:pPr>
              <w:spacing w:after="20" w:before="20"/>
              <w:jc w:val="left"/>
            </w:pPr>
            <w:r/>
            <w:r>
              <w:rPr>
                <w:rFonts w:ascii="Arial" w:hAnsi="Arial"/>
                <w:b w:val="0"/>
                <w:i w:val="0"/>
                <w:sz w:val="18"/>
              </w:rPr>
              <w:t>Tiempo para recuperar la inversión</w:t>
            </w:r>
          </w:p>
        </w:tc>
      </w:tr>
      <w:tr>
        <w:tc>
          <w:tcPr>
            <w:tcW w:type="dxa" w:w="3120"/>
            <w:vAlign w:val="center"/>
          </w:tcPr>
          <w:p>
            <w:pPr>
              <w:spacing w:after="20" w:before="20"/>
              <w:jc w:val="left"/>
            </w:pPr>
            <w:r/>
            <w:r>
              <w:rPr>
                <w:rFonts w:ascii="Arial" w:hAnsi="Arial"/>
                <w:b/>
                <w:i w:val="0"/>
                <w:sz w:val="19"/>
              </w:rPr>
              <w:t>Valor Presente Neto (VPN, 12%)</w:t>
            </w:r>
          </w:p>
        </w:tc>
        <w:tc>
          <w:tcPr>
            <w:tcW w:type="dxa" w:w="3120"/>
            <w:vAlign w:val="center"/>
            <w:shd w:val="clear" w:color="auto" w:fill="EEF3FA"/>
          </w:tcPr>
          <w:p>
            <w:pPr>
              <w:spacing w:after="20" w:before="20"/>
              <w:jc w:val="center"/>
            </w:pPr>
            <w:r/>
            <w:r>
              <w:rPr>
                <w:rFonts w:ascii="Arial" w:hAnsi="Arial"/>
                <w:b/>
                <w:i w:val="0"/>
                <w:color w:val="1F4E78"/>
                <w:sz w:val="19"/>
              </w:rPr>
              <w:t>$10,336,972</w:t>
            </w:r>
          </w:p>
        </w:tc>
        <w:tc>
          <w:tcPr>
            <w:tcW w:type="dxa" w:w="3120"/>
            <w:vAlign w:val="center"/>
          </w:tcPr>
          <w:p>
            <w:pPr>
              <w:spacing w:after="20" w:before="20"/>
              <w:jc w:val="left"/>
            </w:pPr>
            <w:r/>
            <w:r>
              <w:rPr>
                <w:rFonts w:ascii="Arial" w:hAnsi="Arial"/>
                <w:b w:val="0"/>
                <w:i w:val="0"/>
                <w:sz w:val="18"/>
              </w:rPr>
              <w:t>Valor del proyecto descontado a hoy</w:t>
            </w:r>
          </w:p>
        </w:tc>
      </w:tr>
      <w:tr>
        <w:tc>
          <w:tcPr>
            <w:tcW w:type="dxa" w:w="3120"/>
            <w:vAlign w:val="center"/>
          </w:tcPr>
          <w:p>
            <w:pPr>
              <w:spacing w:after="20" w:before="20"/>
              <w:jc w:val="left"/>
            </w:pPr>
            <w:r/>
            <w:r>
              <w:rPr>
                <w:rFonts w:ascii="Arial" w:hAnsi="Arial"/>
                <w:b/>
                <w:i w:val="0"/>
                <w:sz w:val="19"/>
              </w:rPr>
              <w:t>Tasa Interna de Retorno (TIR)</w:t>
            </w:r>
          </w:p>
        </w:tc>
        <w:tc>
          <w:tcPr>
            <w:tcW w:type="dxa" w:w="3120"/>
            <w:vAlign w:val="center"/>
            <w:shd w:val="clear" w:color="auto" w:fill="EEF3FA"/>
          </w:tcPr>
          <w:p>
            <w:pPr>
              <w:spacing w:after="20" w:before="20"/>
              <w:jc w:val="center"/>
            </w:pPr>
            <w:r/>
            <w:r>
              <w:rPr>
                <w:rFonts w:ascii="Arial" w:hAnsi="Arial"/>
                <w:b/>
                <w:i w:val="0"/>
                <w:color w:val="1F4E78"/>
                <w:sz w:val="19"/>
              </w:rPr>
              <w:t>85.4%</w:t>
            </w:r>
          </w:p>
        </w:tc>
        <w:tc>
          <w:tcPr>
            <w:tcW w:type="dxa" w:w="3120"/>
            <w:vAlign w:val="center"/>
          </w:tcPr>
          <w:p>
            <w:pPr>
              <w:spacing w:after="20" w:before="20"/>
              <w:jc w:val="left"/>
            </w:pPr>
            <w:r/>
            <w:r>
              <w:rPr>
                <w:rFonts w:ascii="Arial" w:hAnsi="Arial"/>
                <w:b w:val="0"/>
                <w:i w:val="0"/>
                <w:sz w:val="18"/>
              </w:rPr>
              <w:t>Rendimiento que iguala el VPN a cero</w:t>
            </w:r>
          </w:p>
        </w:tc>
      </w:tr>
    </w:tbl>
    <w:p>
      <w:pPr>
        <w:spacing w:after="120" w:before="0"/>
        <w:jc w:val="both"/>
      </w:pPr>
      <w:r>
        <w:rPr>
          <w:rFonts w:ascii="Arial" w:hAnsi="Arial"/>
          <w:b w:val="0"/>
          <w:i w:val="0"/>
          <w:sz w:val="21"/>
        </w:rPr>
      </w:r>
    </w:p>
    <w:p>
      <w:pPr>
        <w:spacing w:after="0" w:before="0"/>
        <w:jc w:val="both"/>
      </w:pPr>
      <w:r>
        <w:rPr>
          <w:rFonts w:ascii="Arial" w:hAnsi="Arial"/>
          <w:b/>
          <w:i w:val="0"/>
          <w:sz w:val="21"/>
        </w:rPr>
        <w:t xml:space="preserve">Interpretación. </w:t>
      </w:r>
    </w:p>
    <w:p>
      <w:pPr>
        <w:spacing w:after="120" w:before="0"/>
        <w:jc w:val="both"/>
      </w:pPr>
      <w:r>
        <w:rPr>
          <w:rFonts w:ascii="Arial" w:hAnsi="Arial"/>
          <w:b w:val="0"/>
          <w:i w:val="0"/>
          <w:sz w:val="21"/>
        </w:rPr>
        <w:t>El proyecto recupera la inversión en poco más de un año y genera, a tres años, casi un peso de beneficio neto por cada peso invertido (ROI 94.4%). El VPN positivo confirma que, incluso después de descontar el dinero en el tiempo a una tasa exigente del 12%, el proyecto crea valor. La TIR del 85.4% supera ampliamente cualquier costo de capital razonable. A continuación se resume la estructura que sustenta estos indicadores.</w:t>
      </w:r>
    </w:p>
    <w:p>
      <w:pPr>
        <w:spacing w:after="60" w:before="80"/>
        <w:jc w:val="both"/>
      </w:pPr>
      <w:r>
        <w:rPr>
          <w:rFonts w:ascii="Arial" w:hAnsi="Arial"/>
          <w:b/>
          <w:i w:val="0"/>
          <w:color w:val="1F4E78"/>
          <w:sz w:val="21"/>
        </w:rPr>
        <w:t>Estructura de costos por categoría (MXN)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5184"/>
            <w:vAlign w:val="center"/>
            <w:shd w:val="clear" w:color="auto" w:fill="1F4E78"/>
          </w:tcPr>
          <w:p>
            <w:pPr>
              <w:spacing w:after="20" w:before="20"/>
              <w:jc w:val="center"/>
            </w:pPr>
            <w:r/>
            <w:r>
              <w:rPr>
                <w:rFonts w:ascii="Arial" w:hAnsi="Arial"/>
                <w:b/>
                <w:i w:val="0"/>
                <w:color w:val="FFFFFF"/>
                <w:sz w:val="19"/>
              </w:rPr>
              <w:t>Categoría</w:t>
            </w:r>
          </w:p>
        </w:tc>
        <w:tc>
          <w:tcPr>
            <w:tcW w:type="dxa" w:w="4104"/>
            <w:vAlign w:val="center"/>
            <w:shd w:val="clear" w:color="auto" w:fill="1F4E78"/>
          </w:tcPr>
          <w:p>
            <w:pPr>
              <w:spacing w:after="20" w:before="20"/>
              <w:jc w:val="center"/>
            </w:pPr>
            <w:r/>
            <w:r>
              <w:rPr>
                <w:rFonts w:ascii="Arial" w:hAnsi="Arial"/>
                <w:b/>
                <w:i w:val="0"/>
                <w:color w:val="FFFFFF"/>
                <w:sz w:val="19"/>
              </w:rPr>
              <w:t>Inversión inicial</w:t>
            </w:r>
          </w:p>
        </w:tc>
        <w:tc>
          <w:tcPr>
            <w:tcW w:type="dxa" w:w="4176"/>
            <w:vAlign w:val="center"/>
            <w:shd w:val="clear" w:color="auto" w:fill="1F4E78"/>
          </w:tcPr>
          <w:p>
            <w:pPr>
              <w:spacing w:after="20" w:before="20"/>
              <w:jc w:val="center"/>
            </w:pPr>
            <w:r/>
            <w:r>
              <w:rPr>
                <w:rFonts w:ascii="Arial" w:hAnsi="Arial"/>
                <w:b/>
                <w:i w:val="0"/>
                <w:color w:val="FFFFFF"/>
                <w:sz w:val="19"/>
              </w:rPr>
              <w:t>Costo recurrente anual</w:t>
            </w:r>
          </w:p>
        </w:tc>
      </w:tr>
      <w:tr>
        <w:tc>
          <w:tcPr>
            <w:tcW w:type="dxa" w:w="3120"/>
            <w:vAlign w:val="center"/>
          </w:tcPr>
          <w:p>
            <w:pPr>
              <w:spacing w:after="20" w:before="20"/>
              <w:jc w:val="left"/>
            </w:pPr>
            <w:r/>
            <w:r>
              <w:rPr>
                <w:rFonts w:ascii="Arial" w:hAnsi="Arial"/>
                <w:b/>
                <w:i w:val="0"/>
                <w:sz w:val="19"/>
              </w:rPr>
              <w:t>Infraestructura</w:t>
            </w:r>
          </w:p>
        </w:tc>
        <w:tc>
          <w:tcPr>
            <w:tcW w:type="dxa" w:w="3120"/>
            <w:vAlign w:val="center"/>
          </w:tcPr>
          <w:p>
            <w:pPr>
              <w:spacing w:after="20" w:before="20"/>
              <w:jc w:val="center"/>
            </w:pPr>
            <w:r/>
            <w:r>
              <w:rPr>
                <w:rFonts w:ascii="Arial" w:hAnsi="Arial"/>
                <w:b w:val="0"/>
                <w:i w:val="0"/>
                <w:sz w:val="19"/>
              </w:rPr>
              <w:t>$1,000,000</w:t>
            </w:r>
          </w:p>
        </w:tc>
        <w:tc>
          <w:tcPr>
            <w:tcW w:type="dxa" w:w="3120"/>
            <w:vAlign w:val="center"/>
          </w:tcPr>
          <w:p>
            <w:pPr>
              <w:spacing w:after="20" w:before="20"/>
              <w:jc w:val="center"/>
            </w:pPr>
            <w:r/>
            <w:r>
              <w:rPr>
                <w:rFonts w:ascii="Arial" w:hAnsi="Arial"/>
                <w:b w:val="0"/>
                <w:i w:val="0"/>
                <w:sz w:val="19"/>
              </w:rPr>
              <w:t>$900,000</w:t>
            </w:r>
          </w:p>
        </w:tc>
      </w:tr>
      <w:tr>
        <w:tc>
          <w:tcPr>
            <w:tcW w:type="dxa" w:w="3120"/>
            <w:vAlign w:val="center"/>
          </w:tcPr>
          <w:p>
            <w:pPr>
              <w:spacing w:after="20" w:before="20"/>
              <w:jc w:val="left"/>
            </w:pPr>
            <w:r/>
            <w:r>
              <w:rPr>
                <w:rFonts w:ascii="Arial" w:hAnsi="Arial"/>
                <w:b/>
                <w:i w:val="0"/>
                <w:sz w:val="19"/>
              </w:rPr>
              <w:t>Datos</w:t>
            </w:r>
          </w:p>
        </w:tc>
        <w:tc>
          <w:tcPr>
            <w:tcW w:type="dxa" w:w="3120"/>
            <w:vAlign w:val="center"/>
          </w:tcPr>
          <w:p>
            <w:pPr>
              <w:spacing w:after="20" w:before="20"/>
              <w:jc w:val="center"/>
            </w:pPr>
            <w:r/>
            <w:r>
              <w:rPr>
                <w:rFonts w:ascii="Arial" w:hAnsi="Arial"/>
                <w:b w:val="0"/>
                <w:i w:val="0"/>
                <w:sz w:val="19"/>
              </w:rPr>
              <w:t>$1,600,000</w:t>
            </w:r>
          </w:p>
        </w:tc>
        <w:tc>
          <w:tcPr>
            <w:tcW w:type="dxa" w:w="3120"/>
            <w:vAlign w:val="center"/>
          </w:tcPr>
          <w:p>
            <w:pPr>
              <w:spacing w:after="20" w:before="20"/>
              <w:jc w:val="center"/>
            </w:pPr>
            <w:r/>
            <w:r>
              <w:rPr>
                <w:rFonts w:ascii="Arial" w:hAnsi="Arial"/>
                <w:b w:val="0"/>
                <w:i w:val="0"/>
                <w:sz w:val="19"/>
              </w:rPr>
              <w:t>$300,000</w:t>
            </w:r>
          </w:p>
        </w:tc>
      </w:tr>
      <w:tr>
        <w:tc>
          <w:tcPr>
            <w:tcW w:type="dxa" w:w="3120"/>
            <w:vAlign w:val="center"/>
          </w:tcPr>
          <w:p>
            <w:pPr>
              <w:spacing w:after="20" w:before="20"/>
              <w:jc w:val="left"/>
            </w:pPr>
            <w:r/>
            <w:r>
              <w:rPr>
                <w:rFonts w:ascii="Arial" w:hAnsi="Arial"/>
                <w:b/>
                <w:i w:val="0"/>
                <w:sz w:val="19"/>
              </w:rPr>
              <w:t>Talento</w:t>
            </w:r>
          </w:p>
        </w:tc>
        <w:tc>
          <w:tcPr>
            <w:tcW w:type="dxa" w:w="3120"/>
            <w:vAlign w:val="center"/>
          </w:tcPr>
          <w:p>
            <w:pPr>
              <w:spacing w:after="20" w:before="20"/>
              <w:jc w:val="center"/>
            </w:pPr>
            <w:r/>
            <w:r>
              <w:rPr>
                <w:rFonts w:ascii="Arial" w:hAnsi="Arial"/>
                <w:b w:val="0"/>
                <w:i w:val="0"/>
                <w:sz w:val="19"/>
              </w:rPr>
              <w:t>$2,900,000</w:t>
            </w:r>
          </w:p>
        </w:tc>
        <w:tc>
          <w:tcPr>
            <w:tcW w:type="dxa" w:w="3120"/>
            <w:vAlign w:val="center"/>
          </w:tcPr>
          <w:p>
            <w:pPr>
              <w:spacing w:after="20" w:before="20"/>
              <w:jc w:val="center"/>
            </w:pPr>
            <w:r/>
            <w:r>
              <w:rPr>
                <w:rFonts w:ascii="Arial" w:hAnsi="Arial"/>
                <w:b w:val="0"/>
                <w:i w:val="0"/>
                <w:sz w:val="19"/>
              </w:rPr>
              <w:t>$1,300,000</w:t>
            </w:r>
          </w:p>
        </w:tc>
      </w:tr>
      <w:tr>
        <w:tc>
          <w:tcPr>
            <w:tcW w:type="dxa" w:w="3120"/>
            <w:vAlign w:val="center"/>
          </w:tcPr>
          <w:p>
            <w:pPr>
              <w:spacing w:after="20" w:before="20"/>
              <w:jc w:val="left"/>
            </w:pPr>
            <w:r/>
            <w:r>
              <w:rPr>
                <w:rFonts w:ascii="Arial" w:hAnsi="Arial"/>
                <w:b/>
                <w:i w:val="0"/>
                <w:sz w:val="19"/>
              </w:rPr>
              <w:t>Herramientas / software</w:t>
            </w:r>
          </w:p>
        </w:tc>
        <w:tc>
          <w:tcPr>
            <w:tcW w:type="dxa" w:w="3120"/>
            <w:vAlign w:val="center"/>
          </w:tcPr>
          <w:p>
            <w:pPr>
              <w:spacing w:after="20" w:before="20"/>
              <w:jc w:val="center"/>
            </w:pPr>
            <w:r/>
            <w:r>
              <w:rPr>
                <w:rFonts w:ascii="Arial" w:hAnsi="Arial"/>
                <w:b w:val="0"/>
                <w:i w:val="0"/>
                <w:sz w:val="19"/>
              </w:rPr>
              <w:t>$400,000</w:t>
            </w:r>
          </w:p>
        </w:tc>
        <w:tc>
          <w:tcPr>
            <w:tcW w:type="dxa" w:w="3120"/>
            <w:vAlign w:val="center"/>
          </w:tcPr>
          <w:p>
            <w:pPr>
              <w:spacing w:after="20" w:before="20"/>
              <w:jc w:val="center"/>
            </w:pPr>
            <w:r/>
            <w:r>
              <w:rPr>
                <w:rFonts w:ascii="Arial" w:hAnsi="Arial"/>
                <w:b w:val="0"/>
                <w:i w:val="0"/>
                <w:sz w:val="19"/>
              </w:rPr>
              <w:t>$400,000</w:t>
            </w:r>
          </w:p>
        </w:tc>
      </w:tr>
      <w:tr>
        <w:tc>
          <w:tcPr>
            <w:tcW w:type="dxa" w:w="3120"/>
            <w:vAlign w:val="center"/>
          </w:tcPr>
          <w:p>
            <w:pPr>
              <w:spacing w:after="20" w:before="20"/>
              <w:jc w:val="left"/>
            </w:pPr>
            <w:r/>
            <w:r>
              <w:rPr>
                <w:rFonts w:ascii="Arial" w:hAnsi="Arial"/>
                <w:b/>
                <w:i w:val="0"/>
                <w:sz w:val="19"/>
              </w:rPr>
              <w:t>Cumplimiento y gestión del cambio</w:t>
            </w:r>
          </w:p>
        </w:tc>
        <w:tc>
          <w:tcPr>
            <w:tcW w:type="dxa" w:w="3120"/>
            <w:vAlign w:val="center"/>
          </w:tcPr>
          <w:p>
            <w:pPr>
              <w:spacing w:after="20" w:before="20"/>
              <w:jc w:val="center"/>
            </w:pPr>
            <w:r/>
            <w:r>
              <w:rPr>
                <w:rFonts w:ascii="Arial" w:hAnsi="Arial"/>
                <w:b w:val="0"/>
                <w:i w:val="0"/>
                <w:sz w:val="19"/>
              </w:rPr>
              <w:t>$500,000</w:t>
            </w:r>
          </w:p>
        </w:tc>
        <w:tc>
          <w:tcPr>
            <w:tcW w:type="dxa" w:w="3120"/>
            <w:vAlign w:val="center"/>
          </w:tcPr>
          <w:p>
            <w:pPr>
              <w:spacing w:after="20" w:before="20"/>
              <w:jc w:val="center"/>
            </w:pPr>
            <w:r/>
            <w:r>
              <w:rPr>
                <w:rFonts w:ascii="Arial" w:hAnsi="Arial"/>
                <w:b w:val="0"/>
                <w:i w:val="0"/>
                <w:sz w:val="19"/>
              </w:rPr>
              <w:t>$200,000</w:t>
            </w:r>
          </w:p>
        </w:tc>
      </w:tr>
      <w:tr>
        <w:tc>
          <w:tcPr>
            <w:tcW w:type="dxa" w:w="3120"/>
            <w:vAlign w:val="center"/>
            <w:shd w:val="clear" w:color="auto" w:fill="E2EFDA"/>
          </w:tcPr>
          <w:p>
            <w:pPr>
              <w:spacing w:after="20" w:before="20"/>
              <w:jc w:val="left"/>
            </w:pPr>
            <w:r/>
            <w:r>
              <w:rPr>
                <w:rFonts w:ascii="Arial" w:hAnsi="Arial"/>
                <w:b/>
                <w:i w:val="0"/>
                <w:sz w:val="19"/>
              </w:rPr>
              <w:t>Total</w:t>
            </w:r>
          </w:p>
        </w:tc>
        <w:tc>
          <w:tcPr>
            <w:tcW w:type="dxa" w:w="3120"/>
            <w:vAlign w:val="center"/>
            <w:shd w:val="clear" w:color="auto" w:fill="E2EFDA"/>
          </w:tcPr>
          <w:p>
            <w:pPr>
              <w:spacing w:after="20" w:before="20"/>
              <w:jc w:val="center"/>
            </w:pPr>
            <w:r/>
            <w:r>
              <w:rPr>
                <w:rFonts w:ascii="Arial" w:hAnsi="Arial"/>
                <w:b/>
                <w:i w:val="0"/>
                <w:sz w:val="19"/>
              </w:rPr>
              <w:t>$6,400,000</w:t>
            </w:r>
          </w:p>
        </w:tc>
        <w:tc>
          <w:tcPr>
            <w:tcW w:type="dxa" w:w="3120"/>
            <w:vAlign w:val="center"/>
            <w:shd w:val="clear" w:color="auto" w:fill="E2EFDA"/>
          </w:tcPr>
          <w:p>
            <w:pPr>
              <w:spacing w:after="20" w:before="20"/>
              <w:jc w:val="center"/>
            </w:pPr>
            <w:r/>
            <w:r>
              <w:rPr>
                <w:rFonts w:ascii="Arial" w:hAnsi="Arial"/>
                <w:b/>
                <w:i w:val="0"/>
                <w:sz w:val="19"/>
              </w:rPr>
              <w:t>$3,100,000</w:t>
            </w:r>
          </w:p>
        </w:tc>
      </w:tr>
    </w:tbl>
    <w:p>
      <w:pPr>
        <w:spacing w:after="60" w:before="160"/>
        <w:jc w:val="both"/>
      </w:pPr>
      <w:r>
        <w:rPr>
          <w:rFonts w:ascii="Arial" w:hAnsi="Arial"/>
          <w:b/>
          <w:i w:val="0"/>
          <w:color w:val="1F4E78"/>
          <w:sz w:val="21"/>
        </w:rPr>
        <w:t>Beneficios tangibles anuales (MXN)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9144"/>
            <w:vAlign w:val="center"/>
            <w:shd w:val="clear" w:color="auto" w:fill="1F4E78"/>
          </w:tcPr>
          <w:p>
            <w:pPr>
              <w:spacing w:after="20" w:before="20"/>
              <w:jc w:val="center"/>
            </w:pPr>
            <w:r/>
            <w:r>
              <w:rPr>
                <w:rFonts w:ascii="Arial" w:hAnsi="Arial"/>
                <w:b/>
                <w:i w:val="0"/>
                <w:color w:val="FFFFFF"/>
                <w:sz w:val="19"/>
              </w:rPr>
              <w:t>Beneficio tangible</w:t>
            </w:r>
          </w:p>
        </w:tc>
        <w:tc>
          <w:tcPr>
            <w:tcW w:type="dxa" w:w="4320"/>
            <w:vAlign w:val="center"/>
            <w:shd w:val="clear" w:color="auto" w:fill="1F4E78"/>
          </w:tcPr>
          <w:p>
            <w:pPr>
              <w:spacing w:after="20" w:before="20"/>
              <w:jc w:val="center"/>
            </w:pPr>
            <w:r/>
            <w:r>
              <w:rPr>
                <w:rFonts w:ascii="Arial" w:hAnsi="Arial"/>
                <w:b/>
                <w:i w:val="0"/>
                <w:color w:val="FFFFFF"/>
                <w:sz w:val="19"/>
              </w:rPr>
              <w:t>Monto anual</w:t>
            </w:r>
          </w:p>
        </w:tc>
      </w:tr>
      <w:tr>
        <w:tc>
          <w:tcPr>
            <w:tcW w:type="dxa" w:w="4680"/>
            <w:vAlign w:val="center"/>
          </w:tcPr>
          <w:p>
            <w:pPr>
              <w:spacing w:after="20" w:before="20"/>
              <w:jc w:val="left"/>
            </w:pPr>
            <w:r/>
            <w:r>
              <w:rPr>
                <w:rFonts w:ascii="Arial" w:hAnsi="Arial"/>
                <w:b w:val="0"/>
                <w:i w:val="0"/>
                <w:sz w:val="19"/>
              </w:rPr>
              <w:t>Reducción de pérdidas por fraude (detección temprana)</w:t>
            </w:r>
          </w:p>
        </w:tc>
        <w:tc>
          <w:tcPr>
            <w:tcW w:type="dxa" w:w="4680"/>
            <w:vAlign w:val="center"/>
          </w:tcPr>
          <w:p>
            <w:pPr>
              <w:spacing w:after="20" w:before="20"/>
              <w:jc w:val="center"/>
            </w:pPr>
            <w:r/>
            <w:r>
              <w:rPr>
                <w:rFonts w:ascii="Arial" w:hAnsi="Arial"/>
                <w:b/>
                <w:i w:val="0"/>
                <w:sz w:val="19"/>
              </w:rPr>
              <w:t>$7,000,000</w:t>
            </w:r>
          </w:p>
        </w:tc>
      </w:tr>
      <w:tr>
        <w:tc>
          <w:tcPr>
            <w:tcW w:type="dxa" w:w="4680"/>
            <w:vAlign w:val="center"/>
          </w:tcPr>
          <w:p>
            <w:pPr>
              <w:spacing w:after="20" w:before="20"/>
              <w:jc w:val="left"/>
            </w:pPr>
            <w:r/>
            <w:r>
              <w:rPr>
                <w:rFonts w:ascii="Arial" w:hAnsi="Arial"/>
                <w:b w:val="0"/>
                <w:i w:val="0"/>
                <w:sz w:val="19"/>
              </w:rPr>
              <w:t>Reducción de costos por revisión manual de alertas</w:t>
            </w:r>
          </w:p>
        </w:tc>
        <w:tc>
          <w:tcPr>
            <w:tcW w:type="dxa" w:w="4680"/>
            <w:vAlign w:val="center"/>
          </w:tcPr>
          <w:p>
            <w:pPr>
              <w:spacing w:after="20" w:before="20"/>
              <w:jc w:val="center"/>
            </w:pPr>
            <w:r/>
            <w:r>
              <w:rPr>
                <w:rFonts w:ascii="Arial" w:hAnsi="Arial"/>
                <w:b/>
                <w:i w:val="0"/>
                <w:sz w:val="19"/>
              </w:rPr>
              <w:t>$1,800,000</w:t>
            </w:r>
          </w:p>
        </w:tc>
      </w:tr>
      <w:tr>
        <w:tc>
          <w:tcPr>
            <w:tcW w:type="dxa" w:w="4680"/>
            <w:vAlign w:val="center"/>
          </w:tcPr>
          <w:p>
            <w:pPr>
              <w:spacing w:after="20" w:before="20"/>
              <w:jc w:val="left"/>
            </w:pPr>
            <w:r/>
            <w:r>
              <w:rPr>
                <w:rFonts w:ascii="Arial" w:hAnsi="Arial"/>
                <w:b w:val="0"/>
                <w:i w:val="0"/>
                <w:sz w:val="19"/>
              </w:rPr>
              <w:t>Recuperación de ventas por menor tasa de falsos positivos</w:t>
            </w:r>
          </w:p>
        </w:tc>
        <w:tc>
          <w:tcPr>
            <w:tcW w:type="dxa" w:w="4680"/>
            <w:vAlign w:val="center"/>
          </w:tcPr>
          <w:p>
            <w:pPr>
              <w:spacing w:after="20" w:before="20"/>
              <w:jc w:val="center"/>
            </w:pPr>
            <w:r/>
            <w:r>
              <w:rPr>
                <w:rFonts w:ascii="Arial" w:hAnsi="Arial"/>
                <w:b/>
                <w:i w:val="0"/>
                <w:sz w:val="19"/>
              </w:rPr>
              <w:t>$1,400,000</w:t>
            </w:r>
          </w:p>
        </w:tc>
      </w:tr>
      <w:tr>
        <w:tc>
          <w:tcPr>
            <w:tcW w:type="dxa" w:w="4680"/>
            <w:vAlign w:val="center"/>
          </w:tcPr>
          <w:p>
            <w:pPr>
              <w:spacing w:after="20" w:before="20"/>
              <w:jc w:val="left"/>
            </w:pPr>
            <w:r/>
            <w:r>
              <w:rPr>
                <w:rFonts w:ascii="Arial" w:hAnsi="Arial"/>
                <w:b w:val="0"/>
                <w:i w:val="0"/>
                <w:sz w:val="19"/>
              </w:rPr>
              <w:t>Reducción de chargebacks y costos de disputa</w:t>
            </w:r>
          </w:p>
        </w:tc>
        <w:tc>
          <w:tcPr>
            <w:tcW w:type="dxa" w:w="4680"/>
            <w:vAlign w:val="center"/>
          </w:tcPr>
          <w:p>
            <w:pPr>
              <w:spacing w:after="20" w:before="20"/>
              <w:jc w:val="center"/>
            </w:pPr>
            <w:r/>
            <w:r>
              <w:rPr>
                <w:rFonts w:ascii="Arial" w:hAnsi="Arial"/>
                <w:b/>
                <w:i w:val="0"/>
                <w:sz w:val="19"/>
              </w:rPr>
              <w:t>$900,000</w:t>
            </w:r>
          </w:p>
        </w:tc>
      </w:tr>
      <w:tr>
        <w:tc>
          <w:tcPr>
            <w:tcW w:type="dxa" w:w="4680"/>
            <w:vAlign w:val="center"/>
            <w:shd w:val="clear" w:color="auto" w:fill="E2EFDA"/>
          </w:tcPr>
          <w:p>
            <w:pPr>
              <w:spacing w:after="20" w:before="20"/>
              <w:jc w:val="left"/>
            </w:pPr>
            <w:r/>
            <w:r>
              <w:rPr>
                <w:rFonts w:ascii="Arial" w:hAnsi="Arial"/>
                <w:b/>
                <w:i w:val="0"/>
                <w:sz w:val="19"/>
              </w:rPr>
              <w:t>Total beneficios tangibles (anual)</w:t>
            </w:r>
          </w:p>
        </w:tc>
        <w:tc>
          <w:tcPr>
            <w:tcW w:type="dxa" w:w="4680"/>
            <w:vAlign w:val="center"/>
            <w:shd w:val="clear" w:color="auto" w:fill="E2EFDA"/>
          </w:tcPr>
          <w:p>
            <w:pPr>
              <w:spacing w:after="20" w:before="20"/>
              <w:jc w:val="center"/>
            </w:pPr>
            <w:r/>
            <w:r>
              <w:rPr>
                <w:rFonts w:ascii="Arial" w:hAnsi="Arial"/>
                <w:b/>
                <w:i w:val="0"/>
                <w:sz w:val="19"/>
              </w:rPr>
              <w:t>$11,100,000</w:t>
            </w:r>
          </w:p>
        </w:tc>
      </w:tr>
    </w:tbl>
    <w:p>
      <w:r>
        <w:br w:type="page"/>
      </w:r>
    </w:p>
    <w:p>
      <w:pPr>
        <w:pStyle w:val="Heading1"/>
      </w:pPr>
      <w:r>
        <w:t>4. Identificación y priorización de riesgos</w:t>
      </w:r>
    </w:p>
    <w:p>
      <w:pPr>
        <w:spacing w:after="120" w:before="0"/>
        <w:jc w:val="both"/>
      </w:pPr>
      <w:r>
        <w:rPr>
          <w:rFonts w:ascii="Arial" w:hAnsi="Arial"/>
          <w:b w:val="0"/>
          <w:i w:val="0"/>
          <w:sz w:val="21"/>
        </w:rPr>
        <w:t>Los riesgos se clasificaron según su probabilidad de ocurrencia y su impacto sobre el proyecto, utilizando una escala de 1 (muy bajo) a 5 (muy alto) en ambos ejes. El producto Probabilidad × Impacto determina el nivel de riesgo: Bajo (1–4), Medio (5–9), Alto (10–14) y Crítico (15–25). Se identificaron los cuatro riesgos centrales de todo proyecto de IA —sesgo, ética, explicabilidad y mantenimiento— y se ampliaron con riesgos específicos de un sistema de detección de fraudes. El siguiente mapa ubica cada riesgo en su cuadrante:</w:t>
      </w:r>
    </w:p>
    <w:p>
      <w:pPr>
        <w:jc w:val="center"/>
      </w:pPr>
      <w:r>
        <w:drawing>
          <wp:inline xmlns:a="http://schemas.openxmlformats.org/drawingml/2006/main" xmlns:pic="http://schemas.openxmlformats.org/drawingml/2006/picture">
            <wp:extent cx="5943600" cy="3497151"/>
            <wp:docPr id="1" name="Picture 1"/>
            <wp:cNvGraphicFramePr>
              <a:graphicFrameLocks noChangeAspect="1"/>
            </wp:cNvGraphicFramePr>
            <a:graphic>
              <a:graphicData uri="http://schemas.openxmlformats.org/drawingml/2006/picture">
                <pic:pic>
                  <pic:nvPicPr>
                    <pic:cNvPr id="0" name="Mapa_de_Riesgos_Deteccion_Fraudes.png"/>
                    <pic:cNvPicPr/>
                  </pic:nvPicPr>
                  <pic:blipFill>
                    <a:blip r:embed="rId11"/>
                    <a:stretch>
                      <a:fillRect/>
                    </a:stretch>
                  </pic:blipFill>
                  <pic:spPr>
                    <a:xfrm>
                      <a:off x="0" y="0"/>
                      <a:ext cx="5943600" cy="3497151"/>
                    </a:xfrm>
                    <a:prstGeom prst="rect"/>
                  </pic:spPr>
                </pic:pic>
              </a:graphicData>
            </a:graphic>
          </wp:inline>
        </w:drawing>
      </w:r>
    </w:p>
    <w:p>
      <w:pPr>
        <w:jc w:val="center"/>
      </w:pPr>
      <w:r>
        <w:rPr>
          <w:rFonts w:ascii="Arial" w:hAnsi="Arial"/>
          <w:i/>
          <w:color w:val="595959"/>
          <w:sz w:val="17"/>
        </w:rPr>
        <w:t>Figura 1. Mapa de riesgos del proyecto (Probabilidad × Impacto). También disponible para Miro.</w:t>
      </w:r>
    </w:p>
    <w:p>
      <w:pPr>
        <w:spacing w:after="120" w:before="160"/>
        <w:jc w:val="both"/>
      </w:pPr>
      <w:r>
        <w:rPr>
          <w:rFonts w:ascii="Arial" w:hAnsi="Arial"/>
          <w:b w:val="0"/>
          <w:i w:val="0"/>
          <w:sz w:val="21"/>
        </w:rPr>
        <w:t>La siguiente tabla detalla los 13 riesgos ordenados por nivel de criticidad: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37"/>
        <w:gridCol w:w="1337"/>
        <w:gridCol w:w="1337"/>
        <w:gridCol w:w="1337"/>
        <w:gridCol w:w="1337"/>
        <w:gridCol w:w="1337"/>
        <w:gridCol w:w="1337"/>
      </w:tblGrid>
      <w:tr>
        <w:tc>
          <w:tcPr>
            <w:tcW w:type="dxa" w:w="576"/>
            <w:vAlign w:val="center"/>
            <w:shd w:val="clear" w:color="auto" w:fill="1F4E78"/>
          </w:tcPr>
          <w:p>
            <w:pPr>
              <w:spacing w:after="20" w:before="20"/>
              <w:jc w:val="center"/>
            </w:pPr>
            <w:r/>
            <w:r>
              <w:rPr>
                <w:rFonts w:ascii="Arial" w:hAnsi="Arial"/>
                <w:b/>
                <w:i w:val="0"/>
                <w:color w:val="FFFFFF"/>
                <w:sz w:val="18"/>
              </w:rPr>
              <w:t>#</w:t>
            </w:r>
          </w:p>
        </w:tc>
        <w:tc>
          <w:tcPr>
            <w:tcW w:type="dxa" w:w="5112"/>
            <w:vAlign w:val="center"/>
            <w:shd w:val="clear" w:color="auto" w:fill="1F4E78"/>
          </w:tcPr>
          <w:p>
            <w:pPr>
              <w:spacing w:after="20" w:before="20"/>
              <w:jc w:val="center"/>
            </w:pPr>
            <w:r/>
            <w:r>
              <w:rPr>
                <w:rFonts w:ascii="Arial" w:hAnsi="Arial"/>
                <w:b/>
                <w:i w:val="0"/>
                <w:color w:val="FFFFFF"/>
                <w:sz w:val="18"/>
              </w:rPr>
              <w:t>Riesgo</w:t>
            </w:r>
          </w:p>
        </w:tc>
        <w:tc>
          <w:tcPr>
            <w:tcW w:type="dxa" w:w="2160"/>
            <w:vAlign w:val="center"/>
            <w:shd w:val="clear" w:color="auto" w:fill="1F4E78"/>
          </w:tcPr>
          <w:p>
            <w:pPr>
              <w:spacing w:after="20" w:before="20"/>
              <w:jc w:val="center"/>
            </w:pPr>
            <w:r/>
            <w:r>
              <w:rPr>
                <w:rFonts w:ascii="Arial" w:hAnsi="Arial"/>
                <w:b/>
                <w:i w:val="0"/>
                <w:color w:val="FFFFFF"/>
                <w:sz w:val="18"/>
              </w:rPr>
              <w:t>Categoría</w:t>
            </w:r>
          </w:p>
        </w:tc>
        <w:tc>
          <w:tcPr>
            <w:tcW w:type="dxa" w:w="792"/>
            <w:vAlign w:val="center"/>
            <w:shd w:val="clear" w:color="auto" w:fill="1F4E78"/>
          </w:tcPr>
          <w:p>
            <w:pPr>
              <w:spacing w:after="20" w:before="20"/>
              <w:jc w:val="center"/>
            </w:pPr>
            <w:r/>
            <w:r>
              <w:rPr>
                <w:rFonts w:ascii="Arial" w:hAnsi="Arial"/>
                <w:b/>
                <w:i w:val="0"/>
                <w:color w:val="FFFFFF"/>
                <w:sz w:val="18"/>
              </w:rPr>
              <w:t>P</w:t>
            </w:r>
          </w:p>
        </w:tc>
        <w:tc>
          <w:tcPr>
            <w:tcW w:type="dxa" w:w="792"/>
            <w:vAlign w:val="center"/>
            <w:shd w:val="clear" w:color="auto" w:fill="1F4E78"/>
          </w:tcPr>
          <w:p>
            <w:pPr>
              <w:spacing w:after="20" w:before="20"/>
              <w:jc w:val="center"/>
            </w:pPr>
            <w:r/>
            <w:r>
              <w:rPr>
                <w:rFonts w:ascii="Arial" w:hAnsi="Arial"/>
                <w:b/>
                <w:i w:val="0"/>
                <w:color w:val="FFFFFF"/>
                <w:sz w:val="18"/>
              </w:rPr>
              <w:t>I</w:t>
            </w:r>
          </w:p>
        </w:tc>
        <w:tc>
          <w:tcPr>
            <w:tcW w:type="dxa" w:w="1080"/>
            <w:vAlign w:val="center"/>
            <w:shd w:val="clear" w:color="auto" w:fill="1F4E78"/>
          </w:tcPr>
          <w:p>
            <w:pPr>
              <w:spacing w:after="20" w:before="20"/>
              <w:jc w:val="center"/>
            </w:pPr>
            <w:r/>
            <w:r>
              <w:rPr>
                <w:rFonts w:ascii="Arial" w:hAnsi="Arial"/>
                <w:b/>
                <w:i w:val="0"/>
                <w:color w:val="FFFFFF"/>
                <w:sz w:val="18"/>
              </w:rPr>
              <w:t>P×I</w:t>
            </w:r>
          </w:p>
        </w:tc>
        <w:tc>
          <w:tcPr>
            <w:tcW w:type="dxa" w:w="2232"/>
            <w:vAlign w:val="center"/>
            <w:shd w:val="clear" w:color="auto" w:fill="1F4E78"/>
          </w:tcPr>
          <w:p>
            <w:pPr>
              <w:spacing w:after="20" w:before="20"/>
              <w:jc w:val="center"/>
            </w:pPr>
            <w:r/>
            <w:r>
              <w:rPr>
                <w:rFonts w:ascii="Arial" w:hAnsi="Arial"/>
                <w:b/>
                <w:i w:val="0"/>
                <w:color w:val="FFFFFF"/>
                <w:sz w:val="18"/>
              </w:rPr>
              <w:t>Nivel</w:t>
            </w:r>
          </w:p>
        </w:tc>
      </w:tr>
      <w:tr>
        <w:tc>
          <w:tcPr>
            <w:tcW w:type="dxa" w:w="1337"/>
            <w:vAlign w:val="center"/>
          </w:tcPr>
          <w:p>
            <w:pPr>
              <w:spacing w:after="20" w:before="20"/>
              <w:jc w:val="center"/>
            </w:pPr>
            <w:r/>
            <w:r>
              <w:rPr>
                <w:rFonts w:ascii="Arial" w:hAnsi="Arial"/>
                <w:b w:val="0"/>
                <w:i w:val="0"/>
                <w:sz w:val="18"/>
              </w:rPr>
              <w:t>1</w:t>
            </w:r>
          </w:p>
        </w:tc>
        <w:tc>
          <w:tcPr>
            <w:tcW w:type="dxa" w:w="1337"/>
            <w:vAlign w:val="center"/>
          </w:tcPr>
          <w:p>
            <w:pPr>
              <w:spacing w:after="20" w:before="20"/>
              <w:jc w:val="left"/>
            </w:pPr>
            <w:r/>
            <w:r>
              <w:rPr>
                <w:rFonts w:ascii="Arial" w:hAnsi="Arial"/>
                <w:b w:val="0"/>
                <w:i w:val="0"/>
                <w:sz w:val="18"/>
              </w:rPr>
              <w:t>Sesgo algorítmico (discriminación de grupos)</w:t>
            </w:r>
          </w:p>
        </w:tc>
        <w:tc>
          <w:tcPr>
            <w:tcW w:type="dxa" w:w="1337"/>
            <w:vAlign w:val="center"/>
          </w:tcPr>
          <w:p>
            <w:pPr>
              <w:spacing w:after="20" w:before="20"/>
              <w:jc w:val="center"/>
            </w:pPr>
            <w:r/>
            <w:r>
              <w:rPr>
                <w:rFonts w:ascii="Arial" w:hAnsi="Arial"/>
                <w:b w:val="0"/>
                <w:i w:val="0"/>
                <w:sz w:val="17"/>
              </w:rPr>
              <w:t>Sesgo</w:t>
            </w:r>
          </w:p>
        </w:tc>
        <w:tc>
          <w:tcPr>
            <w:tcW w:type="dxa" w:w="1337"/>
            <w:vAlign w:val="center"/>
          </w:tcPr>
          <w:p>
            <w:pPr>
              <w:spacing w:after="20" w:before="20"/>
              <w:jc w:val="center"/>
            </w:pPr>
            <w:r/>
            <w:r>
              <w:rPr>
                <w:rFonts w:ascii="Arial" w:hAnsi="Arial"/>
                <w:b w:val="0"/>
                <w:i w:val="0"/>
                <w:sz w:val="18"/>
              </w:rPr>
              <w:t>4</w:t>
            </w:r>
          </w:p>
        </w:tc>
        <w:tc>
          <w:tcPr>
            <w:tcW w:type="dxa" w:w="1337"/>
            <w:vAlign w:val="center"/>
          </w:tcPr>
          <w:p>
            <w:pPr>
              <w:spacing w:after="20" w:before="20"/>
              <w:jc w:val="center"/>
            </w:pPr>
            <w:r/>
            <w:r>
              <w:rPr>
                <w:rFonts w:ascii="Arial" w:hAnsi="Arial"/>
                <w:b w:val="0"/>
                <w:i w:val="0"/>
                <w:sz w:val="18"/>
              </w:rPr>
              <w:t>5</w:t>
            </w:r>
          </w:p>
        </w:tc>
        <w:tc>
          <w:tcPr>
            <w:tcW w:type="dxa" w:w="1337"/>
            <w:vAlign w:val="center"/>
          </w:tcPr>
          <w:p>
            <w:pPr>
              <w:spacing w:after="20" w:before="20"/>
              <w:jc w:val="center"/>
            </w:pPr>
            <w:r/>
            <w:r>
              <w:rPr>
                <w:rFonts w:ascii="Arial" w:hAnsi="Arial"/>
                <w:b/>
                <w:i w:val="0"/>
                <w:sz w:val="18"/>
              </w:rPr>
              <w:t>20</w:t>
            </w:r>
          </w:p>
        </w:tc>
        <w:tc>
          <w:tcPr>
            <w:tcW w:type="dxa" w:w="1337"/>
            <w:vAlign w:val="center"/>
            <w:shd w:val="clear" w:color="auto" w:fill="F4CCCC"/>
          </w:tcPr>
          <w:p>
            <w:pPr>
              <w:spacing w:after="20" w:before="20"/>
              <w:jc w:val="center"/>
            </w:pPr>
            <w:r/>
            <w:r>
              <w:rPr>
                <w:rFonts w:ascii="Arial" w:hAnsi="Arial"/>
                <w:b/>
                <w:i w:val="0"/>
                <w:color w:val="990000"/>
                <w:sz w:val="18"/>
              </w:rPr>
              <w:t>Crítico</w:t>
            </w:r>
          </w:p>
        </w:tc>
      </w:tr>
      <w:tr>
        <w:tc>
          <w:tcPr>
            <w:tcW w:type="dxa" w:w="1337"/>
            <w:vAlign w:val="center"/>
          </w:tcPr>
          <w:p>
            <w:pPr>
              <w:spacing w:after="20" w:before="20"/>
              <w:jc w:val="center"/>
            </w:pPr>
            <w:r/>
            <w:r>
              <w:rPr>
                <w:rFonts w:ascii="Arial" w:hAnsi="Arial"/>
                <w:b w:val="0"/>
                <w:i w:val="0"/>
                <w:sz w:val="18"/>
              </w:rPr>
              <w:t>2</w:t>
            </w:r>
          </w:p>
        </w:tc>
        <w:tc>
          <w:tcPr>
            <w:tcW w:type="dxa" w:w="1337"/>
            <w:vAlign w:val="center"/>
          </w:tcPr>
          <w:p>
            <w:pPr>
              <w:spacing w:after="20" w:before="20"/>
              <w:jc w:val="left"/>
            </w:pPr>
            <w:r/>
            <w:r>
              <w:rPr>
                <w:rFonts w:ascii="Arial" w:hAnsi="Arial"/>
                <w:b w:val="0"/>
                <w:i w:val="0"/>
                <w:sz w:val="18"/>
              </w:rPr>
              <w:t>Explicabilidad insuficiente (modelo caja negra)</w:t>
            </w:r>
          </w:p>
        </w:tc>
        <w:tc>
          <w:tcPr>
            <w:tcW w:type="dxa" w:w="1337"/>
            <w:vAlign w:val="center"/>
          </w:tcPr>
          <w:p>
            <w:pPr>
              <w:spacing w:after="20" w:before="20"/>
              <w:jc w:val="center"/>
            </w:pPr>
            <w:r/>
            <w:r>
              <w:rPr>
                <w:rFonts w:ascii="Arial" w:hAnsi="Arial"/>
                <w:b w:val="0"/>
                <w:i w:val="0"/>
                <w:sz w:val="17"/>
              </w:rPr>
              <w:t>Explicabilidad</w:t>
            </w:r>
          </w:p>
        </w:tc>
        <w:tc>
          <w:tcPr>
            <w:tcW w:type="dxa" w:w="1337"/>
            <w:vAlign w:val="center"/>
          </w:tcPr>
          <w:p>
            <w:pPr>
              <w:spacing w:after="20" w:before="20"/>
              <w:jc w:val="center"/>
            </w:pPr>
            <w:r/>
            <w:r>
              <w:rPr>
                <w:rFonts w:ascii="Arial" w:hAnsi="Arial"/>
                <w:b w:val="0"/>
                <w:i w:val="0"/>
                <w:sz w:val="18"/>
              </w:rPr>
              <w:t>4</w:t>
            </w:r>
          </w:p>
        </w:tc>
        <w:tc>
          <w:tcPr>
            <w:tcW w:type="dxa" w:w="1337"/>
            <w:vAlign w:val="center"/>
          </w:tcPr>
          <w:p>
            <w:pPr>
              <w:spacing w:after="20" w:before="20"/>
              <w:jc w:val="center"/>
            </w:pPr>
            <w:r/>
            <w:r>
              <w:rPr>
                <w:rFonts w:ascii="Arial" w:hAnsi="Arial"/>
                <w:b w:val="0"/>
                <w:i w:val="0"/>
                <w:sz w:val="18"/>
              </w:rPr>
              <w:t>4</w:t>
            </w:r>
          </w:p>
        </w:tc>
        <w:tc>
          <w:tcPr>
            <w:tcW w:type="dxa" w:w="1337"/>
            <w:vAlign w:val="center"/>
          </w:tcPr>
          <w:p>
            <w:pPr>
              <w:spacing w:after="20" w:before="20"/>
              <w:jc w:val="center"/>
            </w:pPr>
            <w:r/>
            <w:r>
              <w:rPr>
                <w:rFonts w:ascii="Arial" w:hAnsi="Arial"/>
                <w:b/>
                <w:i w:val="0"/>
                <w:sz w:val="18"/>
              </w:rPr>
              <w:t>16</w:t>
            </w:r>
          </w:p>
        </w:tc>
        <w:tc>
          <w:tcPr>
            <w:tcW w:type="dxa" w:w="1337"/>
            <w:vAlign w:val="center"/>
            <w:shd w:val="clear" w:color="auto" w:fill="F4CCCC"/>
          </w:tcPr>
          <w:p>
            <w:pPr>
              <w:spacing w:after="20" w:before="20"/>
              <w:jc w:val="center"/>
            </w:pPr>
            <w:r/>
            <w:r>
              <w:rPr>
                <w:rFonts w:ascii="Arial" w:hAnsi="Arial"/>
                <w:b/>
                <w:i w:val="0"/>
                <w:color w:val="990000"/>
                <w:sz w:val="18"/>
              </w:rPr>
              <w:t>Crítico</w:t>
            </w:r>
          </w:p>
        </w:tc>
      </w:tr>
      <w:tr>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left"/>
            </w:pPr>
            <w:r/>
            <w:r>
              <w:rPr>
                <w:rFonts w:ascii="Arial" w:hAnsi="Arial"/>
                <w:b w:val="0"/>
                <w:i w:val="0"/>
                <w:sz w:val="18"/>
              </w:rPr>
              <w:t>Falsos negativos: fraude no detectado</w:t>
            </w:r>
          </w:p>
        </w:tc>
        <w:tc>
          <w:tcPr>
            <w:tcW w:type="dxa" w:w="1337"/>
            <w:vAlign w:val="center"/>
          </w:tcPr>
          <w:p>
            <w:pPr>
              <w:spacing w:after="20" w:before="20"/>
              <w:jc w:val="center"/>
            </w:pPr>
            <w:r/>
            <w:r>
              <w:rPr>
                <w:rFonts w:ascii="Arial" w:hAnsi="Arial"/>
                <w:b w:val="0"/>
                <w:i w:val="0"/>
                <w:sz w:val="17"/>
              </w:rPr>
              <w:t>Desempeño</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val="0"/>
                <w:i w:val="0"/>
                <w:sz w:val="18"/>
              </w:rPr>
              <w:t>5</w:t>
            </w:r>
          </w:p>
        </w:tc>
        <w:tc>
          <w:tcPr>
            <w:tcW w:type="dxa" w:w="1337"/>
            <w:vAlign w:val="center"/>
          </w:tcPr>
          <w:p>
            <w:pPr>
              <w:spacing w:after="20" w:before="20"/>
              <w:jc w:val="center"/>
            </w:pPr>
            <w:r/>
            <w:r>
              <w:rPr>
                <w:rFonts w:ascii="Arial" w:hAnsi="Arial"/>
                <w:b/>
                <w:i w:val="0"/>
                <w:sz w:val="18"/>
              </w:rPr>
              <w:t>15</w:t>
            </w:r>
          </w:p>
        </w:tc>
        <w:tc>
          <w:tcPr>
            <w:tcW w:type="dxa" w:w="1337"/>
            <w:vAlign w:val="center"/>
            <w:shd w:val="clear" w:color="auto" w:fill="F4CCCC"/>
          </w:tcPr>
          <w:p>
            <w:pPr>
              <w:spacing w:after="20" w:before="20"/>
              <w:jc w:val="center"/>
            </w:pPr>
            <w:r/>
            <w:r>
              <w:rPr>
                <w:rFonts w:ascii="Arial" w:hAnsi="Arial"/>
                <w:b/>
                <w:i w:val="0"/>
                <w:color w:val="990000"/>
                <w:sz w:val="18"/>
              </w:rPr>
              <w:t>Crítico</w:t>
            </w:r>
          </w:p>
        </w:tc>
      </w:tr>
      <w:tr>
        <w:tc>
          <w:tcPr>
            <w:tcW w:type="dxa" w:w="1337"/>
            <w:vAlign w:val="center"/>
          </w:tcPr>
          <w:p>
            <w:pPr>
              <w:spacing w:after="20" w:before="20"/>
              <w:jc w:val="center"/>
            </w:pPr>
            <w:r/>
            <w:r>
              <w:rPr>
                <w:rFonts w:ascii="Arial" w:hAnsi="Arial"/>
                <w:b w:val="0"/>
                <w:i w:val="0"/>
                <w:sz w:val="18"/>
              </w:rPr>
              <w:t>5</w:t>
            </w:r>
          </w:p>
        </w:tc>
        <w:tc>
          <w:tcPr>
            <w:tcW w:type="dxa" w:w="1337"/>
            <w:vAlign w:val="center"/>
          </w:tcPr>
          <w:p>
            <w:pPr>
              <w:spacing w:after="20" w:before="20"/>
              <w:jc w:val="left"/>
            </w:pPr>
            <w:r/>
            <w:r>
              <w:rPr>
                <w:rFonts w:ascii="Arial" w:hAnsi="Arial"/>
                <w:b w:val="0"/>
                <w:i w:val="0"/>
                <w:sz w:val="18"/>
              </w:rPr>
              <w:t>Falsos positivos: bloqueo de clientes legítimos</w:t>
            </w:r>
          </w:p>
        </w:tc>
        <w:tc>
          <w:tcPr>
            <w:tcW w:type="dxa" w:w="1337"/>
            <w:vAlign w:val="center"/>
          </w:tcPr>
          <w:p>
            <w:pPr>
              <w:spacing w:after="20" w:before="20"/>
              <w:jc w:val="center"/>
            </w:pPr>
            <w:r/>
            <w:r>
              <w:rPr>
                <w:rFonts w:ascii="Arial" w:hAnsi="Arial"/>
                <w:b w:val="0"/>
                <w:i w:val="0"/>
                <w:sz w:val="17"/>
              </w:rPr>
              <w:t>Desempeño</w:t>
            </w:r>
          </w:p>
        </w:tc>
        <w:tc>
          <w:tcPr>
            <w:tcW w:type="dxa" w:w="1337"/>
            <w:vAlign w:val="center"/>
          </w:tcPr>
          <w:p>
            <w:pPr>
              <w:spacing w:after="20" w:before="20"/>
              <w:jc w:val="center"/>
            </w:pPr>
            <w:r/>
            <w:r>
              <w:rPr>
                <w:rFonts w:ascii="Arial" w:hAnsi="Arial"/>
                <w:b w:val="0"/>
                <w:i w:val="0"/>
                <w:sz w:val="18"/>
              </w:rPr>
              <w:t>4</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i w:val="0"/>
                <w:sz w:val="18"/>
              </w:rPr>
              <w:t>12</w:t>
            </w:r>
          </w:p>
        </w:tc>
        <w:tc>
          <w:tcPr>
            <w:tcW w:type="dxa" w:w="1337"/>
            <w:vAlign w:val="center"/>
            <w:shd w:val="clear" w:color="auto" w:fill="FCE5CD"/>
          </w:tcPr>
          <w:p>
            <w:pPr>
              <w:spacing w:after="20" w:before="20"/>
              <w:jc w:val="center"/>
            </w:pPr>
            <w:r/>
            <w:r>
              <w:rPr>
                <w:rFonts w:ascii="Arial" w:hAnsi="Arial"/>
                <w:b/>
                <w:i w:val="0"/>
                <w:color w:val="B45309"/>
                <w:sz w:val="18"/>
              </w:rPr>
              <w:t>Alto</w:t>
            </w:r>
          </w:p>
        </w:tc>
      </w:tr>
      <w:tr>
        <w:tc>
          <w:tcPr>
            <w:tcW w:type="dxa" w:w="1337"/>
            <w:vAlign w:val="center"/>
          </w:tcPr>
          <w:p>
            <w:pPr>
              <w:spacing w:after="20" w:before="20"/>
              <w:jc w:val="center"/>
            </w:pPr>
            <w:r/>
            <w:r>
              <w:rPr>
                <w:rFonts w:ascii="Arial" w:hAnsi="Arial"/>
                <w:b w:val="0"/>
                <w:i w:val="0"/>
                <w:sz w:val="18"/>
              </w:rPr>
              <w:t>6</w:t>
            </w:r>
          </w:p>
        </w:tc>
        <w:tc>
          <w:tcPr>
            <w:tcW w:type="dxa" w:w="1337"/>
            <w:vAlign w:val="center"/>
          </w:tcPr>
          <w:p>
            <w:pPr>
              <w:spacing w:after="20" w:before="20"/>
              <w:jc w:val="left"/>
            </w:pPr>
            <w:r/>
            <w:r>
              <w:rPr>
                <w:rFonts w:ascii="Arial" w:hAnsi="Arial"/>
                <w:b w:val="0"/>
                <w:i w:val="0"/>
                <w:sz w:val="18"/>
              </w:rPr>
              <w:t>Mantenimiento: degradación del modelo (drift)</w:t>
            </w:r>
          </w:p>
        </w:tc>
        <w:tc>
          <w:tcPr>
            <w:tcW w:type="dxa" w:w="1337"/>
            <w:vAlign w:val="center"/>
          </w:tcPr>
          <w:p>
            <w:pPr>
              <w:spacing w:after="20" w:before="20"/>
              <w:jc w:val="center"/>
            </w:pPr>
            <w:r/>
            <w:r>
              <w:rPr>
                <w:rFonts w:ascii="Arial" w:hAnsi="Arial"/>
                <w:b w:val="0"/>
                <w:i w:val="0"/>
                <w:sz w:val="17"/>
              </w:rPr>
              <w:t>Mantenimiento</w:t>
            </w:r>
          </w:p>
        </w:tc>
        <w:tc>
          <w:tcPr>
            <w:tcW w:type="dxa" w:w="1337"/>
            <w:vAlign w:val="center"/>
          </w:tcPr>
          <w:p>
            <w:pPr>
              <w:spacing w:after="20" w:before="20"/>
              <w:jc w:val="center"/>
            </w:pPr>
            <w:r/>
            <w:r>
              <w:rPr>
                <w:rFonts w:ascii="Arial" w:hAnsi="Arial"/>
                <w:b w:val="0"/>
                <w:i w:val="0"/>
                <w:sz w:val="18"/>
              </w:rPr>
              <w:t>4</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i w:val="0"/>
                <w:sz w:val="18"/>
              </w:rPr>
              <w:t>12</w:t>
            </w:r>
          </w:p>
        </w:tc>
        <w:tc>
          <w:tcPr>
            <w:tcW w:type="dxa" w:w="1337"/>
            <w:vAlign w:val="center"/>
            <w:shd w:val="clear" w:color="auto" w:fill="FCE5CD"/>
          </w:tcPr>
          <w:p>
            <w:pPr>
              <w:spacing w:after="20" w:before="20"/>
              <w:jc w:val="center"/>
            </w:pPr>
            <w:r/>
            <w:r>
              <w:rPr>
                <w:rFonts w:ascii="Arial" w:hAnsi="Arial"/>
                <w:b/>
                <w:i w:val="0"/>
                <w:color w:val="B45309"/>
                <w:sz w:val="18"/>
              </w:rPr>
              <w:t>Alto</w:t>
            </w:r>
          </w:p>
        </w:tc>
      </w:tr>
      <w:tr>
        <w:tc>
          <w:tcPr>
            <w:tcW w:type="dxa" w:w="1337"/>
            <w:vAlign w:val="center"/>
          </w:tcPr>
          <w:p>
            <w:pPr>
              <w:spacing w:after="20" w:before="20"/>
              <w:jc w:val="center"/>
            </w:pPr>
            <w:r/>
            <w:r>
              <w:rPr>
                <w:rFonts w:ascii="Arial" w:hAnsi="Arial"/>
                <w:b w:val="0"/>
                <w:i w:val="0"/>
                <w:sz w:val="18"/>
              </w:rPr>
              <w:t>4</w:t>
            </w:r>
          </w:p>
        </w:tc>
        <w:tc>
          <w:tcPr>
            <w:tcW w:type="dxa" w:w="1337"/>
            <w:vAlign w:val="center"/>
          </w:tcPr>
          <w:p>
            <w:pPr>
              <w:spacing w:after="20" w:before="20"/>
              <w:jc w:val="left"/>
            </w:pPr>
            <w:r/>
            <w:r>
              <w:rPr>
                <w:rFonts w:ascii="Arial" w:hAnsi="Arial"/>
                <w:b w:val="0"/>
                <w:i w:val="0"/>
                <w:sz w:val="18"/>
              </w:rPr>
              <w:t>Ética y privacidad de datos personales</w:t>
            </w:r>
          </w:p>
        </w:tc>
        <w:tc>
          <w:tcPr>
            <w:tcW w:type="dxa" w:w="1337"/>
            <w:vAlign w:val="center"/>
          </w:tcPr>
          <w:p>
            <w:pPr>
              <w:spacing w:after="20" w:before="20"/>
              <w:jc w:val="center"/>
            </w:pPr>
            <w:r/>
            <w:r>
              <w:rPr>
                <w:rFonts w:ascii="Arial" w:hAnsi="Arial"/>
                <w:b w:val="0"/>
                <w:i w:val="0"/>
                <w:sz w:val="17"/>
              </w:rPr>
              <w:t>Ética</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val="0"/>
                <w:i w:val="0"/>
                <w:sz w:val="18"/>
              </w:rPr>
              <w:t>4</w:t>
            </w:r>
          </w:p>
        </w:tc>
        <w:tc>
          <w:tcPr>
            <w:tcW w:type="dxa" w:w="1337"/>
            <w:vAlign w:val="center"/>
          </w:tcPr>
          <w:p>
            <w:pPr>
              <w:spacing w:after="20" w:before="20"/>
              <w:jc w:val="center"/>
            </w:pPr>
            <w:r/>
            <w:r>
              <w:rPr>
                <w:rFonts w:ascii="Arial" w:hAnsi="Arial"/>
                <w:b/>
                <w:i w:val="0"/>
                <w:sz w:val="18"/>
              </w:rPr>
              <w:t>12</w:t>
            </w:r>
          </w:p>
        </w:tc>
        <w:tc>
          <w:tcPr>
            <w:tcW w:type="dxa" w:w="1337"/>
            <w:vAlign w:val="center"/>
            <w:shd w:val="clear" w:color="auto" w:fill="FCE5CD"/>
          </w:tcPr>
          <w:p>
            <w:pPr>
              <w:spacing w:after="20" w:before="20"/>
              <w:jc w:val="center"/>
            </w:pPr>
            <w:r/>
            <w:r>
              <w:rPr>
                <w:rFonts w:ascii="Arial" w:hAnsi="Arial"/>
                <w:b/>
                <w:i w:val="0"/>
                <w:color w:val="B45309"/>
                <w:sz w:val="18"/>
              </w:rPr>
              <w:t>Alto</w:t>
            </w:r>
          </w:p>
        </w:tc>
      </w:tr>
      <w:tr>
        <w:tc>
          <w:tcPr>
            <w:tcW w:type="dxa" w:w="1337"/>
            <w:vAlign w:val="center"/>
          </w:tcPr>
          <w:p>
            <w:pPr>
              <w:spacing w:after="20" w:before="20"/>
              <w:jc w:val="center"/>
            </w:pPr>
            <w:r/>
            <w:r>
              <w:rPr>
                <w:rFonts w:ascii="Arial" w:hAnsi="Arial"/>
                <w:b w:val="0"/>
                <w:i w:val="0"/>
                <w:sz w:val="18"/>
              </w:rPr>
              <w:t>9</w:t>
            </w:r>
          </w:p>
        </w:tc>
        <w:tc>
          <w:tcPr>
            <w:tcW w:type="dxa" w:w="1337"/>
            <w:vAlign w:val="center"/>
          </w:tcPr>
          <w:p>
            <w:pPr>
              <w:spacing w:after="20" w:before="20"/>
              <w:jc w:val="left"/>
            </w:pPr>
            <w:r/>
            <w:r>
              <w:rPr>
                <w:rFonts w:ascii="Arial" w:hAnsi="Arial"/>
                <w:b w:val="0"/>
                <w:i w:val="0"/>
                <w:sz w:val="18"/>
              </w:rPr>
              <w:t>Ataques adversarios / seguridad del modelo</w:t>
            </w:r>
          </w:p>
        </w:tc>
        <w:tc>
          <w:tcPr>
            <w:tcW w:type="dxa" w:w="1337"/>
            <w:vAlign w:val="center"/>
          </w:tcPr>
          <w:p>
            <w:pPr>
              <w:spacing w:after="20" w:before="20"/>
              <w:jc w:val="center"/>
            </w:pPr>
            <w:r/>
            <w:r>
              <w:rPr>
                <w:rFonts w:ascii="Arial" w:hAnsi="Arial"/>
                <w:b w:val="0"/>
                <w:i w:val="0"/>
                <w:sz w:val="17"/>
              </w:rPr>
              <w:t>Seguridad</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val="0"/>
                <w:i w:val="0"/>
                <w:sz w:val="18"/>
              </w:rPr>
              <w:t>4</w:t>
            </w:r>
          </w:p>
        </w:tc>
        <w:tc>
          <w:tcPr>
            <w:tcW w:type="dxa" w:w="1337"/>
            <w:vAlign w:val="center"/>
          </w:tcPr>
          <w:p>
            <w:pPr>
              <w:spacing w:after="20" w:before="20"/>
              <w:jc w:val="center"/>
            </w:pPr>
            <w:r/>
            <w:r>
              <w:rPr>
                <w:rFonts w:ascii="Arial" w:hAnsi="Arial"/>
                <w:b/>
                <w:i w:val="0"/>
                <w:sz w:val="18"/>
              </w:rPr>
              <w:t>12</w:t>
            </w:r>
          </w:p>
        </w:tc>
        <w:tc>
          <w:tcPr>
            <w:tcW w:type="dxa" w:w="1337"/>
            <w:vAlign w:val="center"/>
            <w:shd w:val="clear" w:color="auto" w:fill="FCE5CD"/>
          </w:tcPr>
          <w:p>
            <w:pPr>
              <w:spacing w:after="20" w:before="20"/>
              <w:jc w:val="center"/>
            </w:pPr>
            <w:r/>
            <w:r>
              <w:rPr>
                <w:rFonts w:ascii="Arial" w:hAnsi="Arial"/>
                <w:b/>
                <w:i w:val="0"/>
                <w:color w:val="B45309"/>
                <w:sz w:val="18"/>
              </w:rPr>
              <w:t>Alto</w:t>
            </w:r>
          </w:p>
        </w:tc>
      </w:tr>
      <w:tr>
        <w:tc>
          <w:tcPr>
            <w:tcW w:type="dxa" w:w="1337"/>
            <w:vAlign w:val="center"/>
          </w:tcPr>
          <w:p>
            <w:pPr>
              <w:spacing w:after="20" w:before="20"/>
              <w:jc w:val="center"/>
            </w:pPr>
            <w:r/>
            <w:r>
              <w:rPr>
                <w:rFonts w:ascii="Arial" w:hAnsi="Arial"/>
                <w:b w:val="0"/>
                <w:i w:val="0"/>
                <w:sz w:val="18"/>
              </w:rPr>
              <w:t>7</w:t>
            </w:r>
          </w:p>
        </w:tc>
        <w:tc>
          <w:tcPr>
            <w:tcW w:type="dxa" w:w="1337"/>
            <w:vAlign w:val="center"/>
          </w:tcPr>
          <w:p>
            <w:pPr>
              <w:spacing w:after="20" w:before="20"/>
              <w:jc w:val="left"/>
            </w:pPr>
            <w:r/>
            <w:r>
              <w:rPr>
                <w:rFonts w:ascii="Arial" w:hAnsi="Arial"/>
                <w:b w:val="0"/>
                <w:i w:val="0"/>
                <w:sz w:val="18"/>
              </w:rPr>
              <w:t>Incumplimiento regulatorio (CNBV / LFPDPPP)</w:t>
            </w:r>
          </w:p>
        </w:tc>
        <w:tc>
          <w:tcPr>
            <w:tcW w:type="dxa" w:w="1337"/>
            <w:vAlign w:val="center"/>
          </w:tcPr>
          <w:p>
            <w:pPr>
              <w:spacing w:after="20" w:before="20"/>
              <w:jc w:val="center"/>
            </w:pPr>
            <w:r/>
            <w:r>
              <w:rPr>
                <w:rFonts w:ascii="Arial" w:hAnsi="Arial"/>
                <w:b w:val="0"/>
                <w:i w:val="0"/>
                <w:sz w:val="17"/>
              </w:rPr>
              <w:t>Cumplimiento</w:t>
            </w:r>
          </w:p>
        </w:tc>
        <w:tc>
          <w:tcPr>
            <w:tcW w:type="dxa" w:w="1337"/>
            <w:vAlign w:val="center"/>
          </w:tcPr>
          <w:p>
            <w:pPr>
              <w:spacing w:after="20" w:before="20"/>
              <w:jc w:val="center"/>
            </w:pPr>
            <w:r/>
            <w:r>
              <w:rPr>
                <w:rFonts w:ascii="Arial" w:hAnsi="Arial"/>
                <w:b w:val="0"/>
                <w:i w:val="0"/>
                <w:sz w:val="18"/>
              </w:rPr>
              <w:t>2</w:t>
            </w:r>
          </w:p>
        </w:tc>
        <w:tc>
          <w:tcPr>
            <w:tcW w:type="dxa" w:w="1337"/>
            <w:vAlign w:val="center"/>
          </w:tcPr>
          <w:p>
            <w:pPr>
              <w:spacing w:after="20" w:before="20"/>
              <w:jc w:val="center"/>
            </w:pPr>
            <w:r/>
            <w:r>
              <w:rPr>
                <w:rFonts w:ascii="Arial" w:hAnsi="Arial"/>
                <w:b w:val="0"/>
                <w:i w:val="0"/>
                <w:sz w:val="18"/>
              </w:rPr>
              <w:t>5</w:t>
            </w:r>
          </w:p>
        </w:tc>
        <w:tc>
          <w:tcPr>
            <w:tcW w:type="dxa" w:w="1337"/>
            <w:vAlign w:val="center"/>
          </w:tcPr>
          <w:p>
            <w:pPr>
              <w:spacing w:after="20" w:before="20"/>
              <w:jc w:val="center"/>
            </w:pPr>
            <w:r/>
            <w:r>
              <w:rPr>
                <w:rFonts w:ascii="Arial" w:hAnsi="Arial"/>
                <w:b/>
                <w:i w:val="0"/>
                <w:sz w:val="18"/>
              </w:rPr>
              <w:t>10</w:t>
            </w:r>
          </w:p>
        </w:tc>
        <w:tc>
          <w:tcPr>
            <w:tcW w:type="dxa" w:w="1337"/>
            <w:vAlign w:val="center"/>
            <w:shd w:val="clear" w:color="auto" w:fill="FCE5CD"/>
          </w:tcPr>
          <w:p>
            <w:pPr>
              <w:spacing w:after="20" w:before="20"/>
              <w:jc w:val="center"/>
            </w:pPr>
            <w:r/>
            <w:r>
              <w:rPr>
                <w:rFonts w:ascii="Arial" w:hAnsi="Arial"/>
                <w:b/>
                <w:i w:val="0"/>
                <w:color w:val="B45309"/>
                <w:sz w:val="18"/>
              </w:rPr>
              <w:t>Alto</w:t>
            </w:r>
          </w:p>
        </w:tc>
      </w:tr>
      <w:tr>
        <w:tc>
          <w:tcPr>
            <w:tcW w:type="dxa" w:w="1337"/>
            <w:vAlign w:val="center"/>
          </w:tcPr>
          <w:p>
            <w:pPr>
              <w:spacing w:after="20" w:before="20"/>
              <w:jc w:val="center"/>
            </w:pPr>
            <w:r/>
            <w:r>
              <w:rPr>
                <w:rFonts w:ascii="Arial" w:hAnsi="Arial"/>
                <w:b w:val="0"/>
                <w:i w:val="0"/>
                <w:sz w:val="18"/>
              </w:rPr>
              <w:t>8</w:t>
            </w:r>
          </w:p>
        </w:tc>
        <w:tc>
          <w:tcPr>
            <w:tcW w:type="dxa" w:w="1337"/>
            <w:vAlign w:val="center"/>
          </w:tcPr>
          <w:p>
            <w:pPr>
              <w:spacing w:after="20" w:before="20"/>
              <w:jc w:val="left"/>
            </w:pPr>
            <w:r/>
            <w:r>
              <w:rPr>
                <w:rFonts w:ascii="Arial" w:hAnsi="Arial"/>
                <w:b w:val="0"/>
                <w:i w:val="0"/>
                <w:sz w:val="18"/>
              </w:rPr>
              <w:t>Calidad y disponibilidad de los datos</w:t>
            </w:r>
          </w:p>
        </w:tc>
        <w:tc>
          <w:tcPr>
            <w:tcW w:type="dxa" w:w="1337"/>
            <w:vAlign w:val="center"/>
          </w:tcPr>
          <w:p>
            <w:pPr>
              <w:spacing w:after="20" w:before="20"/>
              <w:jc w:val="center"/>
            </w:pPr>
            <w:r/>
            <w:r>
              <w:rPr>
                <w:rFonts w:ascii="Arial" w:hAnsi="Arial"/>
                <w:b w:val="0"/>
                <w:i w:val="0"/>
                <w:sz w:val="17"/>
              </w:rPr>
              <w:t>Datos</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i w:val="0"/>
                <w:sz w:val="18"/>
              </w:rPr>
              <w:t>9</w:t>
            </w:r>
          </w:p>
        </w:tc>
        <w:tc>
          <w:tcPr>
            <w:tcW w:type="dxa" w:w="1337"/>
            <w:vAlign w:val="center"/>
            <w:shd w:val="clear" w:color="auto" w:fill="FFF2CC"/>
          </w:tcPr>
          <w:p>
            <w:pPr>
              <w:spacing w:after="20" w:before="20"/>
              <w:jc w:val="center"/>
            </w:pPr>
            <w:r/>
            <w:r>
              <w:rPr>
                <w:rFonts w:ascii="Arial" w:hAnsi="Arial"/>
                <w:b/>
                <w:i w:val="0"/>
                <w:color w:val="7F6000"/>
                <w:sz w:val="18"/>
              </w:rPr>
              <w:t>Medio</w:t>
            </w:r>
          </w:p>
        </w:tc>
      </w:tr>
      <w:tr>
        <w:tc>
          <w:tcPr>
            <w:tcW w:type="dxa" w:w="1337"/>
            <w:vAlign w:val="center"/>
          </w:tcPr>
          <w:p>
            <w:pPr>
              <w:spacing w:after="20" w:before="20"/>
              <w:jc w:val="center"/>
            </w:pPr>
            <w:r/>
            <w:r>
              <w:rPr>
                <w:rFonts w:ascii="Arial" w:hAnsi="Arial"/>
                <w:b w:val="0"/>
                <w:i w:val="0"/>
                <w:sz w:val="18"/>
              </w:rPr>
              <w:t>10</w:t>
            </w:r>
          </w:p>
        </w:tc>
        <w:tc>
          <w:tcPr>
            <w:tcW w:type="dxa" w:w="1337"/>
            <w:vAlign w:val="center"/>
          </w:tcPr>
          <w:p>
            <w:pPr>
              <w:spacing w:after="20" w:before="20"/>
              <w:jc w:val="left"/>
            </w:pPr>
            <w:r/>
            <w:r>
              <w:rPr>
                <w:rFonts w:ascii="Arial" w:hAnsi="Arial"/>
                <w:b w:val="0"/>
                <w:i w:val="0"/>
                <w:sz w:val="18"/>
              </w:rPr>
              <w:t>Dependencia de proveedor y costos cloud</w:t>
            </w:r>
          </w:p>
        </w:tc>
        <w:tc>
          <w:tcPr>
            <w:tcW w:type="dxa" w:w="1337"/>
            <w:vAlign w:val="center"/>
          </w:tcPr>
          <w:p>
            <w:pPr>
              <w:spacing w:after="20" w:before="20"/>
              <w:jc w:val="center"/>
            </w:pPr>
            <w:r/>
            <w:r>
              <w:rPr>
                <w:rFonts w:ascii="Arial" w:hAnsi="Arial"/>
                <w:b w:val="0"/>
                <w:i w:val="0"/>
                <w:sz w:val="17"/>
              </w:rPr>
              <w:t>Operativo</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val="0"/>
                <w:i w:val="0"/>
                <w:sz w:val="18"/>
              </w:rPr>
              <w:t>2</w:t>
            </w:r>
          </w:p>
        </w:tc>
        <w:tc>
          <w:tcPr>
            <w:tcW w:type="dxa" w:w="1337"/>
            <w:vAlign w:val="center"/>
          </w:tcPr>
          <w:p>
            <w:pPr>
              <w:spacing w:after="20" w:before="20"/>
              <w:jc w:val="center"/>
            </w:pPr>
            <w:r/>
            <w:r>
              <w:rPr>
                <w:rFonts w:ascii="Arial" w:hAnsi="Arial"/>
                <w:b/>
                <w:i w:val="0"/>
                <w:sz w:val="18"/>
              </w:rPr>
              <w:t>6</w:t>
            </w:r>
          </w:p>
        </w:tc>
        <w:tc>
          <w:tcPr>
            <w:tcW w:type="dxa" w:w="1337"/>
            <w:vAlign w:val="center"/>
            <w:shd w:val="clear" w:color="auto" w:fill="FFF2CC"/>
          </w:tcPr>
          <w:p>
            <w:pPr>
              <w:spacing w:after="20" w:before="20"/>
              <w:jc w:val="center"/>
            </w:pPr>
            <w:r/>
            <w:r>
              <w:rPr>
                <w:rFonts w:ascii="Arial" w:hAnsi="Arial"/>
                <w:b/>
                <w:i w:val="0"/>
                <w:color w:val="7F6000"/>
                <w:sz w:val="18"/>
              </w:rPr>
              <w:t>Medio</w:t>
            </w:r>
          </w:p>
        </w:tc>
      </w:tr>
      <w:tr>
        <w:tc>
          <w:tcPr>
            <w:tcW w:type="dxa" w:w="1337"/>
            <w:vAlign w:val="center"/>
          </w:tcPr>
          <w:p>
            <w:pPr>
              <w:spacing w:after="20" w:before="20"/>
              <w:jc w:val="center"/>
            </w:pPr>
            <w:r/>
            <w:r>
              <w:rPr>
                <w:rFonts w:ascii="Arial" w:hAnsi="Arial"/>
                <w:b w:val="0"/>
                <w:i w:val="0"/>
                <w:sz w:val="18"/>
              </w:rPr>
              <w:t>11</w:t>
            </w:r>
          </w:p>
        </w:tc>
        <w:tc>
          <w:tcPr>
            <w:tcW w:type="dxa" w:w="1337"/>
            <w:vAlign w:val="center"/>
          </w:tcPr>
          <w:p>
            <w:pPr>
              <w:spacing w:after="20" w:before="20"/>
              <w:jc w:val="left"/>
            </w:pPr>
            <w:r/>
            <w:r>
              <w:rPr>
                <w:rFonts w:ascii="Arial" w:hAnsi="Arial"/>
                <w:b w:val="0"/>
                <w:i w:val="0"/>
                <w:sz w:val="18"/>
              </w:rPr>
              <w:t>Resistencia al cambio / baja adopción</w:t>
            </w:r>
          </w:p>
        </w:tc>
        <w:tc>
          <w:tcPr>
            <w:tcW w:type="dxa" w:w="1337"/>
            <w:vAlign w:val="center"/>
          </w:tcPr>
          <w:p>
            <w:pPr>
              <w:spacing w:after="20" w:before="20"/>
              <w:jc w:val="center"/>
            </w:pPr>
            <w:r/>
            <w:r>
              <w:rPr>
                <w:rFonts w:ascii="Arial" w:hAnsi="Arial"/>
                <w:b w:val="0"/>
                <w:i w:val="0"/>
                <w:sz w:val="17"/>
              </w:rPr>
              <w:t>Organizacional</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val="0"/>
                <w:i w:val="0"/>
                <w:sz w:val="18"/>
              </w:rPr>
              <w:t>2</w:t>
            </w:r>
          </w:p>
        </w:tc>
        <w:tc>
          <w:tcPr>
            <w:tcW w:type="dxa" w:w="1337"/>
            <w:vAlign w:val="center"/>
          </w:tcPr>
          <w:p>
            <w:pPr>
              <w:spacing w:after="20" w:before="20"/>
              <w:jc w:val="center"/>
            </w:pPr>
            <w:r/>
            <w:r>
              <w:rPr>
                <w:rFonts w:ascii="Arial" w:hAnsi="Arial"/>
                <w:b/>
                <w:i w:val="0"/>
                <w:sz w:val="18"/>
              </w:rPr>
              <w:t>6</w:t>
            </w:r>
          </w:p>
        </w:tc>
        <w:tc>
          <w:tcPr>
            <w:tcW w:type="dxa" w:w="1337"/>
            <w:vAlign w:val="center"/>
            <w:shd w:val="clear" w:color="auto" w:fill="FFF2CC"/>
          </w:tcPr>
          <w:p>
            <w:pPr>
              <w:spacing w:after="20" w:before="20"/>
              <w:jc w:val="center"/>
            </w:pPr>
            <w:r/>
            <w:r>
              <w:rPr>
                <w:rFonts w:ascii="Arial" w:hAnsi="Arial"/>
                <w:b/>
                <w:i w:val="0"/>
                <w:color w:val="7F6000"/>
                <w:sz w:val="18"/>
              </w:rPr>
              <w:t>Medio</w:t>
            </w:r>
          </w:p>
        </w:tc>
      </w:tr>
      <w:tr>
        <w:tc>
          <w:tcPr>
            <w:tcW w:type="dxa" w:w="1337"/>
            <w:vAlign w:val="center"/>
          </w:tcPr>
          <w:p>
            <w:pPr>
              <w:spacing w:after="20" w:before="20"/>
              <w:jc w:val="center"/>
            </w:pPr>
            <w:r/>
            <w:r>
              <w:rPr>
                <w:rFonts w:ascii="Arial" w:hAnsi="Arial"/>
                <w:b w:val="0"/>
                <w:i w:val="0"/>
                <w:sz w:val="18"/>
              </w:rPr>
              <w:t>12</w:t>
            </w:r>
          </w:p>
        </w:tc>
        <w:tc>
          <w:tcPr>
            <w:tcW w:type="dxa" w:w="1337"/>
            <w:vAlign w:val="center"/>
          </w:tcPr>
          <w:p>
            <w:pPr>
              <w:spacing w:after="20" w:before="20"/>
              <w:jc w:val="left"/>
            </w:pPr>
            <w:r/>
            <w:r>
              <w:rPr>
                <w:rFonts w:ascii="Arial" w:hAnsi="Arial"/>
                <w:b w:val="0"/>
                <w:i w:val="0"/>
                <w:sz w:val="18"/>
              </w:rPr>
              <w:t>Escalabilidad y latencia en tiempo real</w:t>
            </w:r>
          </w:p>
        </w:tc>
        <w:tc>
          <w:tcPr>
            <w:tcW w:type="dxa" w:w="1337"/>
            <w:vAlign w:val="center"/>
          </w:tcPr>
          <w:p>
            <w:pPr>
              <w:spacing w:after="20" w:before="20"/>
              <w:jc w:val="center"/>
            </w:pPr>
            <w:r/>
            <w:r>
              <w:rPr>
                <w:rFonts w:ascii="Arial" w:hAnsi="Arial"/>
                <w:b w:val="0"/>
                <w:i w:val="0"/>
                <w:sz w:val="17"/>
              </w:rPr>
              <w:t>Técnico</w:t>
            </w:r>
          </w:p>
        </w:tc>
        <w:tc>
          <w:tcPr>
            <w:tcW w:type="dxa" w:w="1337"/>
            <w:vAlign w:val="center"/>
          </w:tcPr>
          <w:p>
            <w:pPr>
              <w:spacing w:after="20" w:before="20"/>
              <w:jc w:val="center"/>
            </w:pPr>
            <w:r/>
            <w:r>
              <w:rPr>
                <w:rFonts w:ascii="Arial" w:hAnsi="Arial"/>
                <w:b w:val="0"/>
                <w:i w:val="0"/>
                <w:sz w:val="18"/>
              </w:rPr>
              <w:t>2</w:t>
            </w:r>
          </w:p>
        </w:tc>
        <w:tc>
          <w:tcPr>
            <w:tcW w:type="dxa" w:w="1337"/>
            <w:vAlign w:val="center"/>
          </w:tcPr>
          <w:p>
            <w:pPr>
              <w:spacing w:after="20" w:before="20"/>
              <w:jc w:val="center"/>
            </w:pPr>
            <w:r/>
            <w:r>
              <w:rPr>
                <w:rFonts w:ascii="Arial" w:hAnsi="Arial"/>
                <w:b w:val="0"/>
                <w:i w:val="0"/>
                <w:sz w:val="18"/>
              </w:rPr>
              <w:t>3</w:t>
            </w:r>
          </w:p>
        </w:tc>
        <w:tc>
          <w:tcPr>
            <w:tcW w:type="dxa" w:w="1337"/>
            <w:vAlign w:val="center"/>
          </w:tcPr>
          <w:p>
            <w:pPr>
              <w:spacing w:after="20" w:before="20"/>
              <w:jc w:val="center"/>
            </w:pPr>
            <w:r/>
            <w:r>
              <w:rPr>
                <w:rFonts w:ascii="Arial" w:hAnsi="Arial"/>
                <w:b/>
                <w:i w:val="0"/>
                <w:sz w:val="18"/>
              </w:rPr>
              <w:t>6</w:t>
            </w:r>
          </w:p>
        </w:tc>
        <w:tc>
          <w:tcPr>
            <w:tcW w:type="dxa" w:w="1337"/>
            <w:vAlign w:val="center"/>
            <w:shd w:val="clear" w:color="auto" w:fill="FFF2CC"/>
          </w:tcPr>
          <w:p>
            <w:pPr>
              <w:spacing w:after="20" w:before="20"/>
              <w:jc w:val="center"/>
            </w:pPr>
            <w:r/>
            <w:r>
              <w:rPr>
                <w:rFonts w:ascii="Arial" w:hAnsi="Arial"/>
                <w:b/>
                <w:i w:val="0"/>
                <w:color w:val="7F6000"/>
                <w:sz w:val="18"/>
              </w:rPr>
              <w:t>Medio</w:t>
            </w:r>
          </w:p>
        </w:tc>
      </w:tr>
      <w:tr>
        <w:tc>
          <w:tcPr>
            <w:tcW w:type="dxa" w:w="1337"/>
            <w:vAlign w:val="center"/>
          </w:tcPr>
          <w:p>
            <w:pPr>
              <w:spacing w:after="20" w:before="20"/>
              <w:jc w:val="center"/>
            </w:pPr>
            <w:r/>
            <w:r>
              <w:rPr>
                <w:rFonts w:ascii="Arial" w:hAnsi="Arial"/>
                <w:b w:val="0"/>
                <w:i w:val="0"/>
                <w:sz w:val="18"/>
              </w:rPr>
              <w:t>13</w:t>
            </w:r>
          </w:p>
        </w:tc>
        <w:tc>
          <w:tcPr>
            <w:tcW w:type="dxa" w:w="1337"/>
            <w:vAlign w:val="center"/>
          </w:tcPr>
          <w:p>
            <w:pPr>
              <w:spacing w:after="20" w:before="20"/>
              <w:jc w:val="left"/>
            </w:pPr>
            <w:r/>
            <w:r>
              <w:rPr>
                <w:rFonts w:ascii="Arial" w:hAnsi="Arial"/>
                <w:b w:val="0"/>
                <w:i w:val="0"/>
                <w:sz w:val="18"/>
              </w:rPr>
              <w:t>Obsolescencia tecnológica del stack</w:t>
            </w:r>
          </w:p>
        </w:tc>
        <w:tc>
          <w:tcPr>
            <w:tcW w:type="dxa" w:w="1337"/>
            <w:vAlign w:val="center"/>
          </w:tcPr>
          <w:p>
            <w:pPr>
              <w:spacing w:after="20" w:before="20"/>
              <w:jc w:val="center"/>
            </w:pPr>
            <w:r/>
            <w:r>
              <w:rPr>
                <w:rFonts w:ascii="Arial" w:hAnsi="Arial"/>
                <w:b w:val="0"/>
                <w:i w:val="0"/>
                <w:sz w:val="17"/>
              </w:rPr>
              <w:t>Técnico</w:t>
            </w:r>
          </w:p>
        </w:tc>
        <w:tc>
          <w:tcPr>
            <w:tcW w:type="dxa" w:w="1337"/>
            <w:vAlign w:val="center"/>
          </w:tcPr>
          <w:p>
            <w:pPr>
              <w:spacing w:after="20" w:before="20"/>
              <w:jc w:val="center"/>
            </w:pPr>
            <w:r/>
            <w:r>
              <w:rPr>
                <w:rFonts w:ascii="Arial" w:hAnsi="Arial"/>
                <w:b w:val="0"/>
                <w:i w:val="0"/>
                <w:sz w:val="18"/>
              </w:rPr>
              <w:t>2</w:t>
            </w:r>
          </w:p>
        </w:tc>
        <w:tc>
          <w:tcPr>
            <w:tcW w:type="dxa" w:w="1337"/>
            <w:vAlign w:val="center"/>
          </w:tcPr>
          <w:p>
            <w:pPr>
              <w:spacing w:after="20" w:before="20"/>
              <w:jc w:val="center"/>
            </w:pPr>
            <w:r/>
            <w:r>
              <w:rPr>
                <w:rFonts w:ascii="Arial" w:hAnsi="Arial"/>
                <w:b w:val="0"/>
                <w:i w:val="0"/>
                <w:sz w:val="18"/>
              </w:rPr>
              <w:t>2</w:t>
            </w:r>
          </w:p>
        </w:tc>
        <w:tc>
          <w:tcPr>
            <w:tcW w:type="dxa" w:w="1337"/>
            <w:vAlign w:val="center"/>
          </w:tcPr>
          <w:p>
            <w:pPr>
              <w:spacing w:after="20" w:before="20"/>
              <w:jc w:val="center"/>
            </w:pPr>
            <w:r/>
            <w:r>
              <w:rPr>
                <w:rFonts w:ascii="Arial" w:hAnsi="Arial"/>
                <w:b/>
                <w:i w:val="0"/>
                <w:sz w:val="18"/>
              </w:rPr>
              <w:t>4</w:t>
            </w:r>
          </w:p>
        </w:tc>
        <w:tc>
          <w:tcPr>
            <w:tcW w:type="dxa" w:w="1337"/>
            <w:vAlign w:val="center"/>
            <w:shd w:val="clear" w:color="auto" w:fill="D9EAD3"/>
          </w:tcPr>
          <w:p>
            <w:pPr>
              <w:spacing w:after="20" w:before="20"/>
              <w:jc w:val="center"/>
            </w:pPr>
            <w:r/>
            <w:r>
              <w:rPr>
                <w:rFonts w:ascii="Arial" w:hAnsi="Arial"/>
                <w:b/>
                <w:i w:val="0"/>
                <w:color w:val="38761D"/>
                <w:sz w:val="18"/>
              </w:rPr>
              <w:t>Bajo</w:t>
            </w:r>
          </w:p>
        </w:tc>
      </w:tr>
    </w:tbl>
    <w:p>
      <w:pPr>
        <w:spacing w:after="120" w:before="0"/>
        <w:jc w:val="both"/>
      </w:pPr>
      <w:r>
        <w:rPr>
          <w:rFonts w:ascii="Arial" w:hAnsi="Arial"/>
          <w:b w:val="0"/>
          <w:i w:val="0"/>
          <w:sz w:val="21"/>
        </w:rPr>
      </w:r>
    </w:p>
    <w:p>
      <w:pPr>
        <w:spacing w:after="0" w:before="0"/>
        <w:jc w:val="both"/>
      </w:pPr>
      <w:r>
        <w:rPr>
          <w:rFonts w:ascii="Arial" w:hAnsi="Arial"/>
          <w:b/>
          <w:i w:val="0"/>
          <w:sz w:val="21"/>
        </w:rPr>
        <w:t xml:space="preserve">Priorización. </w:t>
      </w:r>
    </w:p>
    <w:p>
      <w:pPr>
        <w:spacing w:after="120" w:before="0"/>
        <w:jc w:val="both"/>
      </w:pPr>
      <w:r>
        <w:rPr>
          <w:rFonts w:ascii="Arial" w:hAnsi="Arial"/>
          <w:b w:val="0"/>
          <w:i w:val="0"/>
          <w:sz w:val="21"/>
        </w:rPr>
        <w:t>Para el plan de mitigación se priorizan los 8 riesgos críticos y altos (IDs 1, 2, 3, 5, 6, 4, 9 y 7), que concentran la mayor amenaza para el proyecto. Los riesgos medios (8, 10, 11, 12) y el riesgo bajo (13) se gestionan con estrategias de reducción ligera o aceptación con monitoreo, y se resumen al final de la sección 5.</w:t>
      </w:r>
    </w:p>
    <w:p>
      <w:pPr>
        <w:pStyle w:val="Heading1"/>
      </w:pPr>
      <w:r>
        <w:t>5. Estrategias de mitigación de los riesgos críticos y altos</w:t>
      </w:r>
    </w:p>
    <w:p>
      <w:pPr>
        <w:spacing w:after="120" w:before="0"/>
        <w:jc w:val="both"/>
      </w:pPr>
      <w:r>
        <w:rPr>
          <w:rFonts w:ascii="Arial" w:hAnsi="Arial"/>
          <w:b w:val="0"/>
          <w:i w:val="0"/>
          <w:sz w:val="21"/>
        </w:rPr>
        <w:t>Para cada riesgo prioritario se define una estrategia principal de tratamiento entre las cuatro clásicas —Evitar, Reducir, Transferir y Aceptar—, junto con las acciones concretas, el responsable, los recursos asignados y los indicadores clave de desempeño (KPI) con su meta. La matriz de tratamiento se presenta a continuación en orientación horizontal para mayor legibilidad.</w:t>
      </w:r>
    </w:p>
    <w:p>
      <w:pPr>
        <w:sectPr>
          <w:footerReference w:type="default" r:id="rId9"/>
          <w:headerReference w:type="default" r:id="rId10"/>
          <w:pgSz w:w="12240" w:h="15840"/>
          <w:pgMar w:top="1440" w:right="1440" w:bottom="1440" w:left="1440" w:header="720" w:footer="720" w:gutter="0"/>
          <w:cols w:space="720"/>
          <w:docGrid w:linePitch="360"/>
        </w:sectPr>
      </w:pPr>
    </w:p>
    <w:p>
      <w:pPr>
        <w:spacing w:after="120"/>
      </w:pPr>
      <w:r>
        <w:rPr>
          <w:rFonts w:ascii="Arial" w:hAnsi="Arial"/>
          <w:b/>
          <w:color w:val="1F4E78"/>
          <w:sz w:val="24"/>
        </w:rPr>
        <w:t>Matriz de tratamiento de riesgos (riesgos críticos y altos)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gridCol w:w="2160"/>
        <w:gridCol w:w="2160"/>
      </w:tblGrid>
      <w:tr>
        <w:tc>
          <w:tcPr>
            <w:tcW w:type="dxa" w:w="2160"/>
            <w:vAlign w:val="center"/>
            <w:shd w:val="clear" w:color="auto" w:fill="1F4E78"/>
          </w:tcPr>
          <w:p>
            <w:pPr>
              <w:spacing w:after="20" w:before="20"/>
              <w:jc w:val="center"/>
            </w:pPr>
            <w:r/>
            <w:r>
              <w:rPr>
                <w:rFonts w:ascii="Arial" w:hAnsi="Arial"/>
                <w:b/>
                <w:i w:val="0"/>
                <w:color w:val="FFFFFF"/>
                <w:sz w:val="18"/>
              </w:rPr>
              <w:t>Riesgo (Nivel)</w:t>
            </w:r>
          </w:p>
        </w:tc>
        <w:tc>
          <w:tcPr>
            <w:tcW w:type="dxa" w:w="1440"/>
            <w:vAlign w:val="center"/>
            <w:shd w:val="clear" w:color="auto" w:fill="1F4E78"/>
          </w:tcPr>
          <w:p>
            <w:pPr>
              <w:spacing w:after="20" w:before="20"/>
              <w:jc w:val="center"/>
            </w:pPr>
            <w:r/>
            <w:r>
              <w:rPr>
                <w:rFonts w:ascii="Arial" w:hAnsi="Arial"/>
                <w:b/>
                <w:i w:val="0"/>
                <w:color w:val="FFFFFF"/>
                <w:sz w:val="18"/>
              </w:rPr>
              <w:t>Estrategia</w:t>
            </w:r>
          </w:p>
        </w:tc>
        <w:tc>
          <w:tcPr>
            <w:tcW w:type="dxa" w:w="3456"/>
            <w:vAlign w:val="center"/>
            <w:shd w:val="clear" w:color="auto" w:fill="1F4E78"/>
          </w:tcPr>
          <w:p>
            <w:pPr>
              <w:spacing w:after="20" w:before="20"/>
              <w:jc w:val="center"/>
            </w:pPr>
            <w:r/>
            <w:r>
              <w:rPr>
                <w:rFonts w:ascii="Arial" w:hAnsi="Arial"/>
                <w:b/>
                <w:i w:val="0"/>
                <w:color w:val="FFFFFF"/>
                <w:sz w:val="18"/>
              </w:rPr>
              <w:t>Acciones de mitigación</w:t>
            </w:r>
          </w:p>
        </w:tc>
        <w:tc>
          <w:tcPr>
            <w:tcW w:type="dxa" w:w="2016"/>
            <w:vAlign w:val="center"/>
            <w:shd w:val="clear" w:color="auto" w:fill="1F4E78"/>
          </w:tcPr>
          <w:p>
            <w:pPr>
              <w:spacing w:after="20" w:before="20"/>
              <w:jc w:val="center"/>
            </w:pPr>
            <w:r/>
            <w:r>
              <w:rPr>
                <w:rFonts w:ascii="Arial" w:hAnsi="Arial"/>
                <w:b/>
                <w:i w:val="0"/>
                <w:color w:val="FFFFFF"/>
                <w:sz w:val="18"/>
              </w:rPr>
              <w:t>Responsable</w:t>
            </w:r>
          </w:p>
        </w:tc>
        <w:tc>
          <w:tcPr>
            <w:tcW w:type="dxa" w:w="1944"/>
            <w:vAlign w:val="center"/>
            <w:shd w:val="clear" w:color="auto" w:fill="1F4E78"/>
          </w:tcPr>
          <w:p>
            <w:pPr>
              <w:spacing w:after="20" w:before="20"/>
              <w:jc w:val="center"/>
            </w:pPr>
            <w:r/>
            <w:r>
              <w:rPr>
                <w:rFonts w:ascii="Arial" w:hAnsi="Arial"/>
                <w:b/>
                <w:i w:val="0"/>
                <w:color w:val="FFFFFF"/>
                <w:sz w:val="18"/>
              </w:rPr>
              <w:t>Recursos asignados</w:t>
            </w:r>
          </w:p>
        </w:tc>
        <w:tc>
          <w:tcPr>
            <w:tcW w:type="dxa" w:w="1944"/>
            <w:vAlign w:val="center"/>
            <w:shd w:val="clear" w:color="auto" w:fill="1F4E78"/>
          </w:tcPr>
          <w:p>
            <w:pPr>
              <w:spacing w:after="20" w:before="20"/>
              <w:jc w:val="center"/>
            </w:pPr>
            <w:r/>
            <w:r>
              <w:rPr>
                <w:rFonts w:ascii="Arial" w:hAnsi="Arial"/>
                <w:b/>
                <w:i w:val="0"/>
                <w:color w:val="FFFFFF"/>
                <w:sz w:val="18"/>
              </w:rPr>
              <w:t>KPI (meta)</w:t>
            </w:r>
          </w:p>
        </w:tc>
      </w:tr>
      <w:tr>
        <w:tc>
          <w:tcPr>
            <w:tcW w:type="dxa" w:w="2160"/>
            <w:vAlign w:val="top"/>
            <w:shd w:val="clear" w:color="auto" w:fill="F4CCCC"/>
          </w:tcPr>
          <w:p>
            <w:pPr>
              <w:spacing w:after="20" w:before="20"/>
              <w:jc w:val="left"/>
            </w:pPr>
            <w:r/>
            <w:r>
              <w:rPr>
                <w:rFonts w:ascii="Arial" w:hAnsi="Arial"/>
                <w:b/>
                <w:i w:val="0"/>
                <w:sz w:val="17"/>
              </w:rPr>
              <w:t>Sesgo algorítmico</w:t>
            </w:r>
            <w:r>
              <w:br/>
            </w:r>
            <w:r>
              <w:rPr>
                <w:rFonts w:ascii="Arial" w:hAnsi="Arial"/>
                <w:b/>
                <w:i w:val="0"/>
                <w:sz w:val="17"/>
              </w:rPr>
              <w:t>[Crítico]</w:t>
            </w:r>
          </w:p>
        </w:tc>
        <w:tc>
          <w:tcPr>
            <w:tcW w:type="dxa" w:w="2160"/>
            <w:vAlign w:val="top"/>
          </w:tcPr>
          <w:p>
            <w:pPr>
              <w:spacing w:after="20" w:before="20"/>
              <w:jc w:val="center"/>
            </w:pPr>
            <w:r/>
            <w:r>
              <w:rPr>
                <w:rFonts w:ascii="Arial" w:hAnsi="Arial"/>
                <w:b/>
                <w:i w:val="0"/>
                <w:color w:val="1F4E78"/>
                <w:sz w:val="17"/>
              </w:rPr>
              <w:t>Reducir</w:t>
            </w:r>
            <w:r>
              <w:br/>
            </w:r>
            <w:r>
              <w:rPr>
                <w:rFonts w:ascii="Arial" w:hAnsi="Arial"/>
                <w:b/>
                <w:i w:val="0"/>
                <w:color w:val="1F4E78"/>
                <w:sz w:val="17"/>
              </w:rPr>
              <w:t>(+ Evitar)</w:t>
            </w:r>
          </w:p>
        </w:tc>
        <w:tc>
          <w:tcPr>
            <w:tcW w:type="dxa" w:w="2160"/>
            <w:vAlign w:val="top"/>
          </w:tcPr>
          <w:p>
            <w:pPr>
              <w:spacing w:after="20" w:before="20"/>
              <w:jc w:val="left"/>
            </w:pPr>
            <w:r/>
            <w:r>
              <w:rPr>
                <w:rFonts w:ascii="Arial" w:hAnsi="Arial"/>
                <w:b w:val="0"/>
                <w:i w:val="0"/>
                <w:sz w:val="16"/>
              </w:rPr>
              <w:t>Auditorías de equidad (fairness) periódicas; balanceo y representatividad del dataset; exclusión de variables proxy sensibles (p. ej., código postal); pruebas de impacto desigual por segmento; reentrenamiento correctivo.</w:t>
            </w:r>
          </w:p>
        </w:tc>
        <w:tc>
          <w:tcPr>
            <w:tcW w:type="dxa" w:w="2160"/>
            <w:vAlign w:val="top"/>
          </w:tcPr>
          <w:p>
            <w:pPr>
              <w:spacing w:after="20" w:before="20"/>
              <w:jc w:val="left"/>
            </w:pPr>
            <w:r/>
            <w:r>
              <w:rPr>
                <w:rFonts w:ascii="Arial" w:hAnsi="Arial"/>
                <w:b w:val="0"/>
                <w:i w:val="0"/>
                <w:sz w:val="16"/>
              </w:rPr>
              <w:t>Líder de Ciencia de Datos; supervisión del Comité de Ética de IA.</w:t>
            </w:r>
          </w:p>
        </w:tc>
        <w:tc>
          <w:tcPr>
            <w:tcW w:type="dxa" w:w="2160"/>
            <w:vAlign w:val="top"/>
          </w:tcPr>
          <w:p>
            <w:pPr>
              <w:spacing w:after="20" w:before="20"/>
              <w:jc w:val="left"/>
            </w:pPr>
            <w:r/>
            <w:r>
              <w:rPr>
                <w:rFonts w:ascii="Arial" w:hAnsi="Arial"/>
                <w:b w:val="0"/>
                <w:i w:val="0"/>
                <w:sz w:val="16"/>
              </w:rPr>
              <w:t>0.3 FTE analista de equidad; librerías Fairlearn/AIF360; auditoría externa.</w:t>
            </w:r>
          </w:p>
        </w:tc>
        <w:tc>
          <w:tcPr>
            <w:tcW w:type="dxa" w:w="2160"/>
            <w:vAlign w:val="top"/>
          </w:tcPr>
          <w:p>
            <w:pPr>
              <w:spacing w:after="20" w:before="20"/>
              <w:jc w:val="left"/>
            </w:pPr>
            <w:r/>
            <w:r>
              <w:rPr>
                <w:rFonts w:ascii="Arial" w:hAnsi="Arial"/>
                <w:b w:val="0"/>
                <w:i w:val="0"/>
                <w:sz w:val="16"/>
              </w:rPr>
              <w:t>Brecha de aprobación entre grupos ≤ 5%; brecha de falsos positivos ≤ 3 p.p.; 100% de auditorías trimestrales.</w:t>
            </w:r>
          </w:p>
        </w:tc>
      </w:tr>
      <w:tr>
        <w:tc>
          <w:tcPr>
            <w:tcW w:type="dxa" w:w="2160"/>
            <w:vAlign w:val="top"/>
            <w:shd w:val="clear" w:color="auto" w:fill="F4CCCC"/>
          </w:tcPr>
          <w:p>
            <w:pPr>
              <w:spacing w:after="20" w:before="20"/>
              <w:jc w:val="left"/>
            </w:pPr>
            <w:r/>
            <w:r>
              <w:rPr>
                <w:rFonts w:ascii="Arial" w:hAnsi="Arial"/>
                <w:b/>
                <w:i w:val="0"/>
                <w:sz w:val="17"/>
              </w:rPr>
              <w:t>Explicabilidad insuficiente</w:t>
            </w:r>
            <w:r>
              <w:br/>
            </w:r>
            <w:r>
              <w:rPr>
                <w:rFonts w:ascii="Arial" w:hAnsi="Arial"/>
                <w:b/>
                <w:i w:val="0"/>
                <w:sz w:val="17"/>
              </w:rPr>
              <w:t>[Crítico]</w:t>
            </w:r>
          </w:p>
        </w:tc>
        <w:tc>
          <w:tcPr>
            <w:tcW w:type="dxa" w:w="2160"/>
            <w:vAlign w:val="top"/>
          </w:tcPr>
          <w:p>
            <w:pPr>
              <w:spacing w:after="20" w:before="20"/>
              <w:jc w:val="center"/>
            </w:pPr>
            <w:r/>
            <w:r>
              <w:rPr>
                <w:rFonts w:ascii="Arial" w:hAnsi="Arial"/>
                <w:b/>
                <w:i w:val="0"/>
                <w:color w:val="1F4E78"/>
                <w:sz w:val="17"/>
              </w:rPr>
              <w:t>Reducir</w:t>
            </w:r>
          </w:p>
        </w:tc>
        <w:tc>
          <w:tcPr>
            <w:tcW w:type="dxa" w:w="2160"/>
            <w:vAlign w:val="top"/>
          </w:tcPr>
          <w:p>
            <w:pPr>
              <w:spacing w:after="20" w:before="20"/>
              <w:jc w:val="left"/>
            </w:pPr>
            <w:r/>
            <w:r>
              <w:rPr>
                <w:rFonts w:ascii="Arial" w:hAnsi="Arial"/>
                <w:b w:val="0"/>
                <w:i w:val="0"/>
                <w:sz w:val="16"/>
              </w:rPr>
              <w:t>Priorizar modelos interpretables o explicabilidad post-hoc (SHAP/LIME); generar la razón de cada bloqueo; documentar model cards y registros de decisión.</w:t>
            </w:r>
          </w:p>
        </w:tc>
        <w:tc>
          <w:tcPr>
            <w:tcW w:type="dxa" w:w="2160"/>
            <w:vAlign w:val="top"/>
          </w:tcPr>
          <w:p>
            <w:pPr>
              <w:spacing w:after="20" w:before="20"/>
              <w:jc w:val="left"/>
            </w:pPr>
            <w:r/>
            <w:r>
              <w:rPr>
                <w:rFonts w:ascii="Arial" w:hAnsi="Arial"/>
                <w:b w:val="0"/>
                <w:i w:val="0"/>
                <w:sz w:val="16"/>
              </w:rPr>
              <w:t>Ingeniero de ML; validación del Oficial de Cumplimiento.</w:t>
            </w:r>
          </w:p>
        </w:tc>
        <w:tc>
          <w:tcPr>
            <w:tcW w:type="dxa" w:w="2160"/>
            <w:vAlign w:val="top"/>
          </w:tcPr>
          <w:p>
            <w:pPr>
              <w:spacing w:after="20" w:before="20"/>
              <w:jc w:val="left"/>
            </w:pPr>
            <w:r/>
            <w:r>
              <w:rPr>
                <w:rFonts w:ascii="Arial" w:hAnsi="Arial"/>
                <w:b w:val="0"/>
                <w:i w:val="0"/>
                <w:sz w:val="16"/>
              </w:rPr>
              <w:t>Herramientas de explicabilidad (SHAP/LIME); repositorio de documentación de modelos.</w:t>
            </w:r>
          </w:p>
        </w:tc>
        <w:tc>
          <w:tcPr>
            <w:tcW w:type="dxa" w:w="2160"/>
            <w:vAlign w:val="top"/>
          </w:tcPr>
          <w:p>
            <w:pPr>
              <w:spacing w:after="20" w:before="20"/>
              <w:jc w:val="left"/>
            </w:pPr>
            <w:r/>
            <w:r>
              <w:rPr>
                <w:rFonts w:ascii="Arial" w:hAnsi="Arial"/>
                <w:b w:val="0"/>
                <w:i w:val="0"/>
                <w:sz w:val="16"/>
              </w:rPr>
              <w:t>100% de rechazos con explicación trazable; atención a requerimientos del regulador ≤ 5 días hábiles.</w:t>
            </w:r>
          </w:p>
        </w:tc>
      </w:tr>
      <w:tr>
        <w:tc>
          <w:tcPr>
            <w:tcW w:type="dxa" w:w="2160"/>
            <w:vAlign w:val="top"/>
            <w:shd w:val="clear" w:color="auto" w:fill="F4CCCC"/>
          </w:tcPr>
          <w:p>
            <w:pPr>
              <w:spacing w:after="20" w:before="20"/>
              <w:jc w:val="left"/>
            </w:pPr>
            <w:r/>
            <w:r>
              <w:rPr>
                <w:rFonts w:ascii="Arial" w:hAnsi="Arial"/>
                <w:b/>
                <w:i w:val="0"/>
                <w:sz w:val="17"/>
              </w:rPr>
              <w:t>Falsos negativos (fraude no detectado)</w:t>
            </w:r>
            <w:r>
              <w:br/>
            </w:r>
            <w:r>
              <w:rPr>
                <w:rFonts w:ascii="Arial" w:hAnsi="Arial"/>
                <w:b/>
                <w:i w:val="0"/>
                <w:sz w:val="17"/>
              </w:rPr>
              <w:t>[Crítico]</w:t>
            </w:r>
          </w:p>
        </w:tc>
        <w:tc>
          <w:tcPr>
            <w:tcW w:type="dxa" w:w="2160"/>
            <w:vAlign w:val="top"/>
          </w:tcPr>
          <w:p>
            <w:pPr>
              <w:spacing w:after="20" w:before="20"/>
              <w:jc w:val="center"/>
            </w:pPr>
            <w:r/>
            <w:r>
              <w:rPr>
                <w:rFonts w:ascii="Arial" w:hAnsi="Arial"/>
                <w:b/>
                <w:i w:val="0"/>
                <w:color w:val="1F4E78"/>
                <w:sz w:val="17"/>
              </w:rPr>
              <w:t>Reducir</w:t>
            </w:r>
          </w:p>
        </w:tc>
        <w:tc>
          <w:tcPr>
            <w:tcW w:type="dxa" w:w="2160"/>
            <w:vAlign w:val="top"/>
          </w:tcPr>
          <w:p>
            <w:pPr>
              <w:spacing w:after="20" w:before="20"/>
              <w:jc w:val="left"/>
            </w:pPr>
            <w:r/>
            <w:r>
              <w:rPr>
                <w:rFonts w:ascii="Arial" w:hAnsi="Arial"/>
                <w:b w:val="0"/>
                <w:i w:val="0"/>
                <w:sz w:val="16"/>
              </w:rPr>
              <w:t>Calibración de umbrales orientada a recall; reglas de negocio complementarias; monitoreo continuo; modelos en ensamble; retroalimentación de casos confirmados.</w:t>
            </w:r>
          </w:p>
        </w:tc>
        <w:tc>
          <w:tcPr>
            <w:tcW w:type="dxa" w:w="2160"/>
            <w:vAlign w:val="top"/>
          </w:tcPr>
          <w:p>
            <w:pPr>
              <w:spacing w:after="20" w:before="20"/>
              <w:jc w:val="left"/>
            </w:pPr>
            <w:r/>
            <w:r>
              <w:rPr>
                <w:rFonts w:ascii="Arial" w:hAnsi="Arial"/>
                <w:b w:val="0"/>
                <w:i w:val="0"/>
                <w:sz w:val="16"/>
              </w:rPr>
              <w:t>Líder de Ciencia de Datos; Equipo de Prevención de Fraude.</w:t>
            </w:r>
          </w:p>
        </w:tc>
        <w:tc>
          <w:tcPr>
            <w:tcW w:type="dxa" w:w="2160"/>
            <w:vAlign w:val="top"/>
          </w:tcPr>
          <w:p>
            <w:pPr>
              <w:spacing w:after="20" w:before="20"/>
              <w:jc w:val="left"/>
            </w:pPr>
            <w:r/>
            <w:r>
              <w:rPr>
                <w:rFonts w:ascii="Arial" w:hAnsi="Arial"/>
                <w:b w:val="0"/>
                <w:i w:val="0"/>
                <w:sz w:val="16"/>
              </w:rPr>
              <w:t>Científico de datos + analistas de fraude; monitoreo en tiempo real; pipeline de reentrenamiento.</w:t>
            </w:r>
          </w:p>
        </w:tc>
        <w:tc>
          <w:tcPr>
            <w:tcW w:type="dxa" w:w="2160"/>
            <w:vAlign w:val="top"/>
          </w:tcPr>
          <w:p>
            <w:pPr>
              <w:spacing w:after="20" w:before="20"/>
              <w:jc w:val="left"/>
            </w:pPr>
            <w:r/>
            <w:r>
              <w:rPr>
                <w:rFonts w:ascii="Arial" w:hAnsi="Arial"/>
                <w:b w:val="0"/>
                <w:i w:val="0"/>
                <w:sz w:val="16"/>
              </w:rPr>
              <w:t>Recall (sensibilidad) ≥ 92%; pérdidas por fraude no detectado ≤ meta mensual; tasa de detección ≥ línea base + 30%.</w:t>
            </w:r>
          </w:p>
        </w:tc>
      </w:tr>
      <w:tr>
        <w:tc>
          <w:tcPr>
            <w:tcW w:type="dxa" w:w="2160"/>
            <w:vAlign w:val="top"/>
            <w:shd w:val="clear" w:color="auto" w:fill="FCE5CD"/>
          </w:tcPr>
          <w:p>
            <w:pPr>
              <w:spacing w:after="20" w:before="20"/>
              <w:jc w:val="left"/>
            </w:pPr>
            <w:r/>
            <w:r>
              <w:rPr>
                <w:rFonts w:ascii="Arial" w:hAnsi="Arial"/>
                <w:b/>
                <w:i w:val="0"/>
                <w:sz w:val="17"/>
              </w:rPr>
              <w:t>Falsos positivos (fricción al cliente)</w:t>
            </w:r>
            <w:r>
              <w:br/>
            </w:r>
            <w:r>
              <w:rPr>
                <w:rFonts w:ascii="Arial" w:hAnsi="Arial"/>
                <w:b/>
                <w:i w:val="0"/>
                <w:sz w:val="17"/>
              </w:rPr>
              <w:t>[Alto]</w:t>
            </w:r>
          </w:p>
        </w:tc>
        <w:tc>
          <w:tcPr>
            <w:tcW w:type="dxa" w:w="2160"/>
            <w:vAlign w:val="top"/>
          </w:tcPr>
          <w:p>
            <w:pPr>
              <w:spacing w:after="20" w:before="20"/>
              <w:jc w:val="center"/>
            </w:pPr>
            <w:r/>
            <w:r>
              <w:rPr>
                <w:rFonts w:ascii="Arial" w:hAnsi="Arial"/>
                <w:b/>
                <w:i w:val="0"/>
                <w:color w:val="1F4E78"/>
                <w:sz w:val="17"/>
              </w:rPr>
              <w:t>Reducir</w:t>
            </w:r>
          </w:p>
        </w:tc>
        <w:tc>
          <w:tcPr>
            <w:tcW w:type="dxa" w:w="2160"/>
            <w:vAlign w:val="top"/>
          </w:tcPr>
          <w:p>
            <w:pPr>
              <w:spacing w:after="20" w:before="20"/>
              <w:jc w:val="left"/>
            </w:pPr>
            <w:r/>
            <w:r>
              <w:rPr>
                <w:rFonts w:ascii="Arial" w:hAnsi="Arial"/>
                <w:b w:val="0"/>
                <w:i w:val="0"/>
                <w:sz w:val="16"/>
              </w:rPr>
              <w:t>Calibración de umbral hacia precisión; listas de excepción para clientes recurrentes; revisión humana de casos límite; pruebas A/B de umbrales.</w:t>
            </w:r>
          </w:p>
        </w:tc>
        <w:tc>
          <w:tcPr>
            <w:tcW w:type="dxa" w:w="2160"/>
            <w:vAlign w:val="top"/>
          </w:tcPr>
          <w:p>
            <w:pPr>
              <w:spacing w:after="20" w:before="20"/>
              <w:jc w:val="left"/>
            </w:pPr>
            <w:r/>
            <w:r>
              <w:rPr>
                <w:rFonts w:ascii="Arial" w:hAnsi="Arial"/>
                <w:b w:val="0"/>
                <w:i w:val="0"/>
                <w:sz w:val="16"/>
              </w:rPr>
              <w:t>Product Owner; Ciencia de Datos.</w:t>
            </w:r>
          </w:p>
        </w:tc>
        <w:tc>
          <w:tcPr>
            <w:tcW w:type="dxa" w:w="2160"/>
            <w:vAlign w:val="top"/>
          </w:tcPr>
          <w:p>
            <w:pPr>
              <w:spacing w:after="20" w:before="20"/>
              <w:jc w:val="left"/>
            </w:pPr>
            <w:r/>
            <w:r>
              <w:rPr>
                <w:rFonts w:ascii="Arial" w:hAnsi="Arial"/>
                <w:b w:val="0"/>
                <w:i w:val="0"/>
                <w:sz w:val="16"/>
              </w:rPr>
              <w:t>Product Owner + 0.5 FTE analista de monitoreo; panel de precisión y experiencia.</w:t>
            </w:r>
          </w:p>
        </w:tc>
        <w:tc>
          <w:tcPr>
            <w:tcW w:type="dxa" w:w="2160"/>
            <w:vAlign w:val="top"/>
          </w:tcPr>
          <w:p>
            <w:pPr>
              <w:spacing w:after="20" w:before="20"/>
              <w:jc w:val="left"/>
            </w:pPr>
            <w:r/>
            <w:r>
              <w:rPr>
                <w:rFonts w:ascii="Arial" w:hAnsi="Arial"/>
                <w:b w:val="0"/>
                <w:i w:val="0"/>
                <w:sz w:val="16"/>
              </w:rPr>
              <w:t>Tasa de falsos positivos ≤ 3%; precisión ≥ 90%; reducción de quejas por bloqueo ≥ 25%.</w:t>
            </w:r>
          </w:p>
        </w:tc>
      </w:tr>
      <w:tr>
        <w:tc>
          <w:tcPr>
            <w:tcW w:type="dxa" w:w="2160"/>
            <w:vAlign w:val="top"/>
            <w:shd w:val="clear" w:color="auto" w:fill="FCE5CD"/>
          </w:tcPr>
          <w:p>
            <w:pPr>
              <w:spacing w:after="20" w:before="20"/>
              <w:jc w:val="left"/>
            </w:pPr>
            <w:r/>
            <w:r>
              <w:rPr>
                <w:rFonts w:ascii="Arial" w:hAnsi="Arial"/>
                <w:b/>
                <w:i w:val="0"/>
                <w:sz w:val="17"/>
              </w:rPr>
              <w:t>Mantenimiento / degradación (drift)</w:t>
            </w:r>
            <w:r>
              <w:br/>
            </w:r>
            <w:r>
              <w:rPr>
                <w:rFonts w:ascii="Arial" w:hAnsi="Arial"/>
                <w:b/>
                <w:i w:val="0"/>
                <w:sz w:val="17"/>
              </w:rPr>
              <w:t>[Alto]</w:t>
            </w:r>
          </w:p>
        </w:tc>
        <w:tc>
          <w:tcPr>
            <w:tcW w:type="dxa" w:w="2160"/>
            <w:vAlign w:val="top"/>
          </w:tcPr>
          <w:p>
            <w:pPr>
              <w:spacing w:after="20" w:before="20"/>
              <w:jc w:val="center"/>
            </w:pPr>
            <w:r/>
            <w:r>
              <w:rPr>
                <w:rFonts w:ascii="Arial" w:hAnsi="Arial"/>
                <w:b/>
                <w:i w:val="0"/>
                <w:color w:val="1F4E78"/>
                <w:sz w:val="17"/>
              </w:rPr>
              <w:t>Reducir</w:t>
            </w:r>
          </w:p>
        </w:tc>
        <w:tc>
          <w:tcPr>
            <w:tcW w:type="dxa" w:w="2160"/>
            <w:vAlign w:val="top"/>
          </w:tcPr>
          <w:p>
            <w:pPr>
              <w:spacing w:after="20" w:before="20"/>
              <w:jc w:val="left"/>
            </w:pPr>
            <w:r/>
            <w:r>
              <w:rPr>
                <w:rFonts w:ascii="Arial" w:hAnsi="Arial"/>
                <w:b w:val="0"/>
                <w:i w:val="0"/>
                <w:sz w:val="16"/>
              </w:rPr>
              <w:t>Monitoreo de data/concept drift; reentrenamiento programado (mensual) y por disparador; pipeline MLOps con CI/CD de modelos; alertas automáticas.</w:t>
            </w:r>
          </w:p>
        </w:tc>
        <w:tc>
          <w:tcPr>
            <w:tcW w:type="dxa" w:w="2160"/>
            <w:vAlign w:val="top"/>
          </w:tcPr>
          <w:p>
            <w:pPr>
              <w:spacing w:after="20" w:before="20"/>
              <w:jc w:val="left"/>
            </w:pPr>
            <w:r/>
            <w:r>
              <w:rPr>
                <w:rFonts w:ascii="Arial" w:hAnsi="Arial"/>
                <w:b w:val="0"/>
                <w:i w:val="0"/>
                <w:sz w:val="16"/>
              </w:rPr>
              <w:t>Ingeniero de ML (mantenimiento); equipo de MLOps.</w:t>
            </w:r>
          </w:p>
        </w:tc>
        <w:tc>
          <w:tcPr>
            <w:tcW w:type="dxa" w:w="2160"/>
            <w:vAlign w:val="top"/>
          </w:tcPr>
          <w:p>
            <w:pPr>
              <w:spacing w:after="20" w:before="20"/>
              <w:jc w:val="left"/>
            </w:pPr>
            <w:r/>
            <w:r>
              <w:rPr>
                <w:rFonts w:ascii="Arial" w:hAnsi="Arial"/>
                <w:b w:val="0"/>
                <w:i w:val="0"/>
                <w:sz w:val="16"/>
              </w:rPr>
              <w:t>1 FTE Ingeniero de ML + 0.5 FTE MLOps; plataforma MLOps; monitoreo de drift.</w:t>
            </w:r>
          </w:p>
        </w:tc>
        <w:tc>
          <w:tcPr>
            <w:tcW w:type="dxa" w:w="2160"/>
            <w:vAlign w:val="top"/>
          </w:tcPr>
          <w:p>
            <w:pPr>
              <w:spacing w:after="20" w:before="20"/>
              <w:jc w:val="left"/>
            </w:pPr>
            <w:r/>
            <w:r>
              <w:rPr>
                <w:rFonts w:ascii="Arial" w:hAnsi="Arial"/>
                <w:b w:val="0"/>
                <w:i w:val="0"/>
                <w:sz w:val="16"/>
              </w:rPr>
              <w:t>Caída de AUC ≤ 3% entre reentrenamientos; reentrenamiento ≥ mensual; disponibilidad del modelo ≥ 99.5%.</w:t>
            </w:r>
          </w:p>
        </w:tc>
      </w:tr>
      <w:tr>
        <w:tc>
          <w:tcPr>
            <w:tcW w:type="dxa" w:w="2160"/>
            <w:vAlign w:val="top"/>
            <w:shd w:val="clear" w:color="auto" w:fill="FCE5CD"/>
          </w:tcPr>
          <w:p>
            <w:pPr>
              <w:spacing w:after="20" w:before="20"/>
              <w:jc w:val="left"/>
            </w:pPr>
            <w:r/>
            <w:r>
              <w:rPr>
                <w:rFonts w:ascii="Arial" w:hAnsi="Arial"/>
                <w:b/>
                <w:i w:val="0"/>
                <w:sz w:val="17"/>
              </w:rPr>
              <w:t>Ética y privacidad de datos</w:t>
            </w:r>
            <w:r>
              <w:br/>
            </w:r>
            <w:r>
              <w:rPr>
                <w:rFonts w:ascii="Arial" w:hAnsi="Arial"/>
                <w:b/>
                <w:i w:val="0"/>
                <w:sz w:val="17"/>
              </w:rPr>
              <w:t>[Alto]</w:t>
            </w:r>
          </w:p>
        </w:tc>
        <w:tc>
          <w:tcPr>
            <w:tcW w:type="dxa" w:w="2160"/>
            <w:vAlign w:val="top"/>
          </w:tcPr>
          <w:p>
            <w:pPr>
              <w:spacing w:after="20" w:before="20"/>
              <w:jc w:val="center"/>
            </w:pPr>
            <w:r/>
            <w:r>
              <w:rPr>
                <w:rFonts w:ascii="Arial" w:hAnsi="Arial"/>
                <w:b/>
                <w:i w:val="0"/>
                <w:color w:val="1F4E78"/>
                <w:sz w:val="17"/>
              </w:rPr>
              <w:t>Evitar</w:t>
            </w:r>
            <w:r>
              <w:br/>
            </w:r>
            <w:r>
              <w:rPr>
                <w:rFonts w:ascii="Arial" w:hAnsi="Arial"/>
                <w:b/>
                <w:i w:val="0"/>
                <w:color w:val="1F4E78"/>
                <w:sz w:val="17"/>
              </w:rPr>
              <w:t>(+ Reducir)</w:t>
            </w:r>
          </w:p>
        </w:tc>
        <w:tc>
          <w:tcPr>
            <w:tcW w:type="dxa" w:w="2160"/>
            <w:vAlign w:val="top"/>
          </w:tcPr>
          <w:p>
            <w:pPr>
              <w:spacing w:after="20" w:before="20"/>
              <w:jc w:val="left"/>
            </w:pPr>
            <w:r/>
            <w:r>
              <w:rPr>
                <w:rFonts w:ascii="Arial" w:hAnsi="Arial"/>
                <w:b w:val="0"/>
                <w:i w:val="0"/>
                <w:sz w:val="16"/>
              </w:rPr>
              <w:t>Minimización de datos (no recolectar lo innecesario); anonimización/seudonimización; gestión de consentimiento; cumplimiento de la LFPDPPP; evaluación de impacto de privacidad (PIA).</w:t>
            </w:r>
          </w:p>
        </w:tc>
        <w:tc>
          <w:tcPr>
            <w:tcW w:type="dxa" w:w="2160"/>
            <w:vAlign w:val="top"/>
          </w:tcPr>
          <w:p>
            <w:pPr>
              <w:spacing w:after="20" w:before="20"/>
              <w:jc w:val="left"/>
            </w:pPr>
            <w:r/>
            <w:r>
              <w:rPr>
                <w:rFonts w:ascii="Arial" w:hAnsi="Arial"/>
                <w:b w:val="0"/>
                <w:i w:val="0"/>
                <w:sz w:val="16"/>
              </w:rPr>
              <w:t>Oficial de Protección de Datos (DPO); Equipo Legal.</w:t>
            </w:r>
          </w:p>
        </w:tc>
        <w:tc>
          <w:tcPr>
            <w:tcW w:type="dxa" w:w="2160"/>
            <w:vAlign w:val="top"/>
          </w:tcPr>
          <w:p>
            <w:pPr>
              <w:spacing w:after="20" w:before="20"/>
              <w:jc w:val="left"/>
            </w:pPr>
            <w:r/>
            <w:r>
              <w:rPr>
                <w:rFonts w:ascii="Arial" w:hAnsi="Arial"/>
                <w:b w:val="0"/>
                <w:i w:val="0"/>
                <w:sz w:val="16"/>
              </w:rPr>
              <w:t>DPO + asesoría legal; herramientas de anonimización y control de acceso.</w:t>
            </w:r>
          </w:p>
        </w:tc>
        <w:tc>
          <w:tcPr>
            <w:tcW w:type="dxa" w:w="2160"/>
            <w:vAlign w:val="top"/>
          </w:tcPr>
          <w:p>
            <w:pPr>
              <w:spacing w:after="20" w:before="20"/>
              <w:jc w:val="left"/>
            </w:pPr>
            <w:r/>
            <w:r>
              <w:rPr>
                <w:rFonts w:ascii="Arial" w:hAnsi="Arial"/>
                <w:b w:val="0"/>
                <w:i w:val="0"/>
                <w:sz w:val="16"/>
              </w:rPr>
              <w:t>0 incidentes de privacidad reportables; 100% de cumplimiento en auditoría de datos; 100% de procesos con PIA aprobada.</w:t>
            </w:r>
          </w:p>
        </w:tc>
      </w:tr>
      <w:tr>
        <w:tc>
          <w:tcPr>
            <w:tcW w:type="dxa" w:w="2160"/>
            <w:vAlign w:val="top"/>
            <w:shd w:val="clear" w:color="auto" w:fill="FCE5CD"/>
          </w:tcPr>
          <w:p>
            <w:pPr>
              <w:spacing w:after="20" w:before="20"/>
              <w:jc w:val="left"/>
            </w:pPr>
            <w:r/>
            <w:r>
              <w:rPr>
                <w:rFonts w:ascii="Arial" w:hAnsi="Arial"/>
                <w:b/>
                <w:i w:val="0"/>
                <w:sz w:val="17"/>
              </w:rPr>
              <w:t>Ataques adversarios / seguridad</w:t>
            </w:r>
            <w:r>
              <w:br/>
            </w:r>
            <w:r>
              <w:rPr>
                <w:rFonts w:ascii="Arial" w:hAnsi="Arial"/>
                <w:b/>
                <w:i w:val="0"/>
                <w:sz w:val="17"/>
              </w:rPr>
              <w:t>[Alto]</w:t>
            </w:r>
          </w:p>
        </w:tc>
        <w:tc>
          <w:tcPr>
            <w:tcW w:type="dxa" w:w="2160"/>
            <w:vAlign w:val="top"/>
          </w:tcPr>
          <w:p>
            <w:pPr>
              <w:spacing w:after="20" w:before="20"/>
              <w:jc w:val="center"/>
            </w:pPr>
            <w:r/>
            <w:r>
              <w:rPr>
                <w:rFonts w:ascii="Arial" w:hAnsi="Arial"/>
                <w:b/>
                <w:i w:val="0"/>
                <w:color w:val="1F4E78"/>
                <w:sz w:val="17"/>
              </w:rPr>
              <w:t>Reducir</w:t>
            </w:r>
            <w:r>
              <w:br/>
            </w:r>
            <w:r>
              <w:rPr>
                <w:rFonts w:ascii="Arial" w:hAnsi="Arial"/>
                <w:b/>
                <w:i w:val="0"/>
                <w:color w:val="1F4E78"/>
                <w:sz w:val="17"/>
              </w:rPr>
              <w:t>(+ Transferir)</w:t>
            </w:r>
          </w:p>
        </w:tc>
        <w:tc>
          <w:tcPr>
            <w:tcW w:type="dxa" w:w="2160"/>
            <w:vAlign w:val="top"/>
          </w:tcPr>
          <w:p>
            <w:pPr>
              <w:spacing w:after="20" w:before="20"/>
              <w:jc w:val="left"/>
            </w:pPr>
            <w:r/>
            <w:r>
              <w:rPr>
                <w:rFonts w:ascii="Arial" w:hAnsi="Arial"/>
                <w:b w:val="0"/>
                <w:i w:val="0"/>
                <w:sz w:val="16"/>
              </w:rPr>
              <w:t>Pruebas adversarias y red-teaming; monitoreo de anomalías de entrada; endurecimiento del modelo y la API; gestión de vulnerabilidades; seguro cibernético (riesgo residual).</w:t>
            </w:r>
          </w:p>
        </w:tc>
        <w:tc>
          <w:tcPr>
            <w:tcW w:type="dxa" w:w="2160"/>
            <w:vAlign w:val="top"/>
          </w:tcPr>
          <w:p>
            <w:pPr>
              <w:spacing w:after="20" w:before="20"/>
              <w:jc w:val="left"/>
            </w:pPr>
            <w:r/>
            <w:r>
              <w:rPr>
                <w:rFonts w:ascii="Arial" w:hAnsi="Arial"/>
                <w:b w:val="0"/>
                <w:i w:val="0"/>
                <w:sz w:val="16"/>
              </w:rPr>
              <w:t>CISO / Seguridad de la Información; Ciencia de Datos.</w:t>
            </w:r>
          </w:p>
        </w:tc>
        <w:tc>
          <w:tcPr>
            <w:tcW w:type="dxa" w:w="2160"/>
            <w:vAlign w:val="top"/>
          </w:tcPr>
          <w:p>
            <w:pPr>
              <w:spacing w:after="20" w:before="20"/>
              <w:jc w:val="left"/>
            </w:pPr>
            <w:r/>
            <w:r>
              <w:rPr>
                <w:rFonts w:ascii="Arial" w:hAnsi="Arial"/>
                <w:b w:val="0"/>
                <w:i w:val="0"/>
                <w:sz w:val="16"/>
              </w:rPr>
              <w:t>Equipo de Seguridad + ML; pentesting; herramientas de detección; póliza de seguro cibernético.</w:t>
            </w:r>
          </w:p>
        </w:tc>
        <w:tc>
          <w:tcPr>
            <w:tcW w:type="dxa" w:w="2160"/>
            <w:vAlign w:val="top"/>
          </w:tcPr>
          <w:p>
            <w:pPr>
              <w:spacing w:after="20" w:before="20"/>
              <w:jc w:val="left"/>
            </w:pPr>
            <w:r/>
            <w:r>
              <w:rPr>
                <w:rFonts w:ascii="Arial" w:hAnsi="Arial"/>
                <w:b w:val="0"/>
                <w:i w:val="0"/>
                <w:sz w:val="16"/>
              </w:rPr>
              <w:t>0 brechas exitosas; 100% de vulnerabilidades críticas remediadas en SLA; pruebas adversarias ≥ trimestrales.</w:t>
            </w:r>
          </w:p>
        </w:tc>
      </w:tr>
      <w:tr>
        <w:tc>
          <w:tcPr>
            <w:tcW w:type="dxa" w:w="2160"/>
            <w:vAlign w:val="top"/>
            <w:shd w:val="clear" w:color="auto" w:fill="FCE5CD"/>
          </w:tcPr>
          <w:p>
            <w:pPr>
              <w:spacing w:after="20" w:before="20"/>
              <w:jc w:val="left"/>
            </w:pPr>
            <w:r/>
            <w:r>
              <w:rPr>
                <w:rFonts w:ascii="Arial" w:hAnsi="Arial"/>
                <w:b/>
                <w:i w:val="0"/>
                <w:sz w:val="17"/>
              </w:rPr>
              <w:t>Incumplimiento regulatorio (CNBV/LFPDPPP)</w:t>
            </w:r>
            <w:r>
              <w:br/>
            </w:r>
            <w:r>
              <w:rPr>
                <w:rFonts w:ascii="Arial" w:hAnsi="Arial"/>
                <w:b/>
                <w:i w:val="0"/>
                <w:sz w:val="17"/>
              </w:rPr>
              <w:t>[Alto]</w:t>
            </w:r>
          </w:p>
        </w:tc>
        <w:tc>
          <w:tcPr>
            <w:tcW w:type="dxa" w:w="2160"/>
            <w:vAlign w:val="top"/>
          </w:tcPr>
          <w:p>
            <w:pPr>
              <w:spacing w:after="20" w:before="20"/>
              <w:jc w:val="center"/>
            </w:pPr>
            <w:r/>
            <w:r>
              <w:rPr>
                <w:rFonts w:ascii="Arial" w:hAnsi="Arial"/>
                <w:b/>
                <w:i w:val="0"/>
                <w:color w:val="1F4E78"/>
                <w:sz w:val="17"/>
              </w:rPr>
              <w:t>Transferir</w:t>
            </w:r>
            <w:r>
              <w:br/>
            </w:r>
            <w:r>
              <w:rPr>
                <w:rFonts w:ascii="Arial" w:hAnsi="Arial"/>
                <w:b/>
                <w:i w:val="0"/>
                <w:color w:val="1F4E78"/>
                <w:sz w:val="17"/>
              </w:rPr>
              <w:t>(+ Reducir)</w:t>
            </w:r>
          </w:p>
        </w:tc>
        <w:tc>
          <w:tcPr>
            <w:tcW w:type="dxa" w:w="2160"/>
            <w:vAlign w:val="top"/>
          </w:tcPr>
          <w:p>
            <w:pPr>
              <w:spacing w:after="20" w:before="20"/>
              <w:jc w:val="left"/>
            </w:pPr>
            <w:r/>
            <w:r>
              <w:rPr>
                <w:rFonts w:ascii="Arial" w:hAnsi="Arial"/>
                <w:b w:val="0"/>
                <w:i w:val="0"/>
                <w:sz w:val="16"/>
              </w:rPr>
              <w:t>Asesoría legal especializada y auditorías externas (terceros expertos); pólizas de responsabilidad; cumplimiento documentado y trazable; alineación con normativa CNBV.</w:t>
            </w:r>
          </w:p>
        </w:tc>
        <w:tc>
          <w:tcPr>
            <w:tcW w:type="dxa" w:w="2160"/>
            <w:vAlign w:val="top"/>
          </w:tcPr>
          <w:p>
            <w:pPr>
              <w:spacing w:after="20" w:before="20"/>
              <w:jc w:val="left"/>
            </w:pPr>
            <w:r/>
            <w:r>
              <w:rPr>
                <w:rFonts w:ascii="Arial" w:hAnsi="Arial"/>
                <w:b w:val="0"/>
                <w:i w:val="0"/>
                <w:sz w:val="16"/>
              </w:rPr>
              <w:t>Oficial de Cumplimiento; Equipo Legal.</w:t>
            </w:r>
          </w:p>
        </w:tc>
        <w:tc>
          <w:tcPr>
            <w:tcW w:type="dxa" w:w="2160"/>
            <w:vAlign w:val="top"/>
          </w:tcPr>
          <w:p>
            <w:pPr>
              <w:spacing w:after="20" w:before="20"/>
              <w:jc w:val="left"/>
            </w:pPr>
            <w:r/>
            <w:r>
              <w:rPr>
                <w:rFonts w:ascii="Arial" w:hAnsi="Arial"/>
                <w:b w:val="0"/>
                <w:i w:val="0"/>
                <w:sz w:val="16"/>
              </w:rPr>
              <w:t>Cumplimiento + Legal; consultoría regulatoria; póliza de responsabilidad.</w:t>
            </w:r>
          </w:p>
        </w:tc>
        <w:tc>
          <w:tcPr>
            <w:tcW w:type="dxa" w:w="2160"/>
            <w:vAlign w:val="top"/>
          </w:tcPr>
          <w:p>
            <w:pPr>
              <w:spacing w:after="20" w:before="20"/>
              <w:jc w:val="left"/>
            </w:pPr>
            <w:r/>
            <w:r>
              <w:rPr>
                <w:rFonts w:ascii="Arial" w:hAnsi="Arial"/>
                <w:b w:val="0"/>
                <w:i w:val="0"/>
                <w:sz w:val="16"/>
              </w:rPr>
              <w:t>0 sanciones regulatorias; 100% de hallazgos de auditoría cerrados en SLA; 100% de requisitos documentados.</w:t>
            </w:r>
          </w:p>
        </w:tc>
      </w:tr>
    </w:tbl>
    <w:p>
      <w:pPr>
        <w:spacing w:before="200"/>
      </w:pPr>
      <w:r>
        <w:rPr>
          <w:rFonts w:ascii="Arial" w:hAnsi="Arial"/>
          <w:b/>
          <w:color w:val="1F4E78"/>
          <w:sz w:val="22"/>
        </w:rPr>
        <w:t>Riesgos medios y bajo (tratamiento complementario)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gridCol w:w="2160"/>
        <w:gridCol w:w="2160"/>
      </w:tblGrid>
      <w:tr>
        <w:tc>
          <w:tcPr>
            <w:tcW w:type="dxa" w:w="2592"/>
            <w:vAlign w:val="center"/>
            <w:shd w:val="clear" w:color="auto" w:fill="1F4E78"/>
          </w:tcPr>
          <w:p>
            <w:pPr>
              <w:spacing w:after="20" w:before="20"/>
              <w:jc w:val="center"/>
            </w:pPr>
            <w:r/>
            <w:r>
              <w:rPr>
                <w:rFonts w:ascii="Arial" w:hAnsi="Arial"/>
                <w:b/>
                <w:i w:val="0"/>
                <w:color w:val="FFFFFF"/>
                <w:sz w:val="17"/>
              </w:rPr>
              <w:t>Riesgo (Nivel)</w:t>
            </w:r>
          </w:p>
        </w:tc>
        <w:tc>
          <w:tcPr>
            <w:tcW w:type="dxa" w:w="1368"/>
            <w:vAlign w:val="center"/>
            <w:shd w:val="clear" w:color="auto" w:fill="1F4E78"/>
          </w:tcPr>
          <w:p>
            <w:pPr>
              <w:spacing w:after="20" w:before="20"/>
              <w:jc w:val="center"/>
            </w:pPr>
            <w:r/>
            <w:r>
              <w:rPr>
                <w:rFonts w:ascii="Arial" w:hAnsi="Arial"/>
                <w:b/>
                <w:i w:val="0"/>
                <w:color w:val="FFFFFF"/>
                <w:sz w:val="17"/>
              </w:rPr>
              <w:t>Estrategia</w:t>
            </w:r>
          </w:p>
        </w:tc>
        <w:tc>
          <w:tcPr>
            <w:tcW w:type="dxa" w:w="3672"/>
            <w:vAlign w:val="center"/>
            <w:shd w:val="clear" w:color="auto" w:fill="1F4E78"/>
          </w:tcPr>
          <w:p>
            <w:pPr>
              <w:spacing w:after="20" w:before="20"/>
              <w:jc w:val="center"/>
            </w:pPr>
            <w:r/>
            <w:r>
              <w:rPr>
                <w:rFonts w:ascii="Arial" w:hAnsi="Arial"/>
                <w:b/>
                <w:i w:val="0"/>
                <w:color w:val="FFFFFF"/>
                <w:sz w:val="17"/>
              </w:rPr>
              <w:t>Acciones</w:t>
            </w:r>
          </w:p>
        </w:tc>
        <w:tc>
          <w:tcPr>
            <w:tcW w:type="dxa" w:w="2304"/>
            <w:vAlign w:val="center"/>
            <w:shd w:val="clear" w:color="auto" w:fill="1F4E78"/>
          </w:tcPr>
          <w:p>
            <w:pPr>
              <w:spacing w:after="20" w:before="20"/>
              <w:jc w:val="center"/>
            </w:pPr>
            <w:r/>
            <w:r>
              <w:rPr>
                <w:rFonts w:ascii="Arial" w:hAnsi="Arial"/>
                <w:b/>
                <w:i w:val="0"/>
                <w:color w:val="FFFFFF"/>
                <w:sz w:val="17"/>
              </w:rPr>
              <w:t>Responsable</w:t>
            </w:r>
          </w:p>
        </w:tc>
        <w:tc>
          <w:tcPr>
            <w:tcW w:type="dxa" w:w="2232"/>
            <w:vAlign w:val="center"/>
            <w:shd w:val="clear" w:color="auto" w:fill="1F4E78"/>
          </w:tcPr>
          <w:p>
            <w:pPr>
              <w:spacing w:after="20" w:before="20"/>
              <w:jc w:val="center"/>
            </w:pPr>
            <w:r/>
            <w:r>
              <w:rPr>
                <w:rFonts w:ascii="Arial" w:hAnsi="Arial"/>
                <w:b/>
                <w:i w:val="0"/>
                <w:color w:val="FFFFFF"/>
                <w:sz w:val="17"/>
              </w:rPr>
              <w:t>KPI (meta)</w:t>
            </w:r>
          </w:p>
        </w:tc>
        <w:tc>
          <w:tcPr>
            <w:tcW w:type="dxa" w:w="792"/>
            <w:vAlign w:val="center"/>
            <w:shd w:val="clear" w:color="auto" w:fill="1F4E78"/>
          </w:tcPr>
          <w:p>
            <w:pPr>
              <w:spacing w:after="20" w:before="20"/>
              <w:jc w:val="center"/>
            </w:pPr>
            <w:r/>
            <w:r>
              <w:rPr>
                <w:rFonts w:ascii="Arial" w:hAnsi="Arial"/>
                <w:b/>
                <w:i w:val="0"/>
                <w:color w:val="FFFFFF"/>
                <w:sz w:val="17"/>
              </w:rPr>
              <w:t>ID</w:t>
            </w:r>
          </w:p>
        </w:tc>
      </w:tr>
      <w:tr>
        <w:tc>
          <w:tcPr>
            <w:tcW w:type="dxa" w:w="2160"/>
            <w:vAlign w:val="top"/>
            <w:shd w:val="clear" w:color="auto" w:fill="FFF2CC"/>
          </w:tcPr>
          <w:p>
            <w:pPr>
              <w:spacing w:after="20" w:before="20"/>
              <w:jc w:val="left"/>
            </w:pPr>
            <w:r/>
            <w:r>
              <w:rPr>
                <w:rFonts w:ascii="Arial" w:hAnsi="Arial"/>
                <w:b/>
                <w:i w:val="0"/>
                <w:sz w:val="17"/>
              </w:rPr>
              <w:t>Calidad y disponibilidad de los datos</w:t>
            </w:r>
            <w:r>
              <w:br/>
            </w:r>
            <w:r>
              <w:rPr>
                <w:rFonts w:ascii="Arial" w:hAnsi="Arial"/>
                <w:b/>
                <w:i w:val="0"/>
                <w:sz w:val="17"/>
              </w:rPr>
              <w:t>[Medio]</w:t>
            </w:r>
          </w:p>
        </w:tc>
        <w:tc>
          <w:tcPr>
            <w:tcW w:type="dxa" w:w="2160"/>
            <w:vAlign w:val="top"/>
          </w:tcPr>
          <w:p>
            <w:pPr>
              <w:spacing w:after="20" w:before="20"/>
              <w:jc w:val="center"/>
            </w:pPr>
            <w:r/>
            <w:r>
              <w:rPr>
                <w:rFonts w:ascii="Arial" w:hAnsi="Arial"/>
                <w:b/>
                <w:i w:val="0"/>
                <w:color w:val="1F4E78"/>
                <w:sz w:val="17"/>
              </w:rPr>
              <w:t>Reducir</w:t>
            </w:r>
          </w:p>
        </w:tc>
        <w:tc>
          <w:tcPr>
            <w:tcW w:type="dxa" w:w="2160"/>
            <w:vAlign w:val="top"/>
          </w:tcPr>
          <w:p>
            <w:pPr>
              <w:spacing w:after="20" w:before="20"/>
              <w:jc w:val="left"/>
            </w:pPr>
            <w:r/>
            <w:r>
              <w:rPr>
                <w:rFonts w:ascii="Arial" w:hAnsi="Arial"/>
                <w:b w:val="0"/>
                <w:i w:val="0"/>
                <w:sz w:val="16"/>
              </w:rPr>
              <w:t>Controles de calidad y validación de pipelines; pruebas de completitud y consistencia.</w:t>
            </w:r>
          </w:p>
        </w:tc>
        <w:tc>
          <w:tcPr>
            <w:tcW w:type="dxa" w:w="2160"/>
            <w:vAlign w:val="top"/>
          </w:tcPr>
          <w:p>
            <w:pPr>
              <w:spacing w:after="20" w:before="20"/>
              <w:jc w:val="left"/>
            </w:pPr>
            <w:r/>
            <w:r>
              <w:rPr>
                <w:rFonts w:ascii="Arial" w:hAnsi="Arial"/>
                <w:b w:val="0"/>
                <w:i w:val="0"/>
                <w:sz w:val="16"/>
              </w:rPr>
              <w:t>Ingeniero de datos.</w:t>
            </w:r>
          </w:p>
        </w:tc>
        <w:tc>
          <w:tcPr>
            <w:tcW w:type="dxa" w:w="2160"/>
            <w:vAlign w:val="top"/>
          </w:tcPr>
          <w:p>
            <w:pPr>
              <w:spacing w:after="20" w:before="20"/>
              <w:jc w:val="left"/>
            </w:pPr>
            <w:r/>
            <w:r>
              <w:rPr>
                <w:rFonts w:ascii="Arial" w:hAnsi="Arial"/>
                <w:b w:val="0"/>
                <w:i w:val="0"/>
                <w:sz w:val="16"/>
              </w:rPr>
              <w:t>Completitud de datos ≥ 98%; 0 incidentes de datos críticos.</w:t>
            </w:r>
          </w:p>
        </w:tc>
        <w:tc>
          <w:tcPr>
            <w:tcW w:type="dxa" w:w="2160"/>
            <w:vAlign w:val="top"/>
          </w:tcPr>
          <w:p>
            <w:pPr>
              <w:spacing w:after="20" w:before="20"/>
              <w:jc w:val="center"/>
            </w:pPr>
            <w:r/>
            <w:r>
              <w:rPr>
                <w:rFonts w:ascii="Arial" w:hAnsi="Arial"/>
                <w:b w:val="0"/>
                <w:i w:val="0"/>
                <w:sz w:val="17"/>
              </w:rPr>
              <w:t>8</w:t>
            </w:r>
          </w:p>
        </w:tc>
      </w:tr>
      <w:tr>
        <w:tc>
          <w:tcPr>
            <w:tcW w:type="dxa" w:w="2160"/>
            <w:vAlign w:val="top"/>
            <w:shd w:val="clear" w:color="auto" w:fill="FFF2CC"/>
          </w:tcPr>
          <w:p>
            <w:pPr>
              <w:spacing w:after="20" w:before="20"/>
              <w:jc w:val="left"/>
            </w:pPr>
            <w:r/>
            <w:r>
              <w:rPr>
                <w:rFonts w:ascii="Arial" w:hAnsi="Arial"/>
                <w:b/>
                <w:i w:val="0"/>
                <w:sz w:val="17"/>
              </w:rPr>
              <w:t>Dependencia de proveedor y costos cloud</w:t>
            </w:r>
            <w:r>
              <w:br/>
            </w:r>
            <w:r>
              <w:rPr>
                <w:rFonts w:ascii="Arial" w:hAnsi="Arial"/>
                <w:b/>
                <w:i w:val="0"/>
                <w:sz w:val="17"/>
              </w:rPr>
              <w:t>[Medio]</w:t>
            </w:r>
          </w:p>
        </w:tc>
        <w:tc>
          <w:tcPr>
            <w:tcW w:type="dxa" w:w="2160"/>
            <w:vAlign w:val="top"/>
          </w:tcPr>
          <w:p>
            <w:pPr>
              <w:spacing w:after="20" w:before="20"/>
              <w:jc w:val="center"/>
            </w:pPr>
            <w:r/>
            <w:r>
              <w:rPr>
                <w:rFonts w:ascii="Arial" w:hAnsi="Arial"/>
                <w:b/>
                <w:i w:val="0"/>
                <w:color w:val="1F4E78"/>
                <w:sz w:val="17"/>
              </w:rPr>
              <w:t>Aceptar</w:t>
            </w:r>
            <w:r>
              <w:br/>
            </w:r>
            <w:r>
              <w:rPr>
                <w:rFonts w:ascii="Arial" w:hAnsi="Arial"/>
                <w:b/>
                <w:i w:val="0"/>
                <w:color w:val="1F4E78"/>
                <w:sz w:val="17"/>
              </w:rPr>
              <w:t>(con monitoreo)</w:t>
            </w:r>
          </w:p>
        </w:tc>
        <w:tc>
          <w:tcPr>
            <w:tcW w:type="dxa" w:w="2160"/>
            <w:vAlign w:val="top"/>
          </w:tcPr>
          <w:p>
            <w:pPr>
              <w:spacing w:after="20" w:before="20"/>
              <w:jc w:val="left"/>
            </w:pPr>
            <w:r/>
            <w:r>
              <w:rPr>
                <w:rFonts w:ascii="Arial" w:hAnsi="Arial"/>
                <w:b w:val="0"/>
                <w:i w:val="0"/>
                <w:sz w:val="16"/>
              </w:rPr>
              <w:t>Arquitectura portable; cláusulas de salida; monitoreo de costos; alternativas evaluadas.</w:t>
            </w:r>
          </w:p>
        </w:tc>
        <w:tc>
          <w:tcPr>
            <w:tcW w:type="dxa" w:w="2160"/>
            <w:vAlign w:val="top"/>
          </w:tcPr>
          <w:p>
            <w:pPr>
              <w:spacing w:after="20" w:before="20"/>
              <w:jc w:val="left"/>
            </w:pPr>
            <w:r/>
            <w:r>
              <w:rPr>
                <w:rFonts w:ascii="Arial" w:hAnsi="Arial"/>
                <w:b w:val="0"/>
                <w:i w:val="0"/>
                <w:sz w:val="16"/>
              </w:rPr>
              <w:t>Arquitecto + Compras.</w:t>
            </w:r>
          </w:p>
        </w:tc>
        <w:tc>
          <w:tcPr>
            <w:tcW w:type="dxa" w:w="2160"/>
            <w:vAlign w:val="top"/>
          </w:tcPr>
          <w:p>
            <w:pPr>
              <w:spacing w:after="20" w:before="20"/>
              <w:jc w:val="left"/>
            </w:pPr>
            <w:r/>
            <w:r>
              <w:rPr>
                <w:rFonts w:ascii="Arial" w:hAnsi="Arial"/>
                <w:b w:val="0"/>
                <w:i w:val="0"/>
                <w:sz w:val="16"/>
              </w:rPr>
              <w:t>% de componentes con alternativa ≥ 70%; desviación de costos ≤ 10%.</w:t>
            </w:r>
          </w:p>
        </w:tc>
        <w:tc>
          <w:tcPr>
            <w:tcW w:type="dxa" w:w="2160"/>
            <w:vAlign w:val="top"/>
          </w:tcPr>
          <w:p>
            <w:pPr>
              <w:spacing w:after="20" w:before="20"/>
              <w:jc w:val="center"/>
            </w:pPr>
            <w:r/>
            <w:r>
              <w:rPr>
                <w:rFonts w:ascii="Arial" w:hAnsi="Arial"/>
                <w:b w:val="0"/>
                <w:i w:val="0"/>
                <w:sz w:val="17"/>
              </w:rPr>
              <w:t>10</w:t>
            </w:r>
          </w:p>
        </w:tc>
      </w:tr>
      <w:tr>
        <w:tc>
          <w:tcPr>
            <w:tcW w:type="dxa" w:w="2160"/>
            <w:vAlign w:val="top"/>
            <w:shd w:val="clear" w:color="auto" w:fill="FFF2CC"/>
          </w:tcPr>
          <w:p>
            <w:pPr>
              <w:spacing w:after="20" w:before="20"/>
              <w:jc w:val="left"/>
            </w:pPr>
            <w:r/>
            <w:r>
              <w:rPr>
                <w:rFonts w:ascii="Arial" w:hAnsi="Arial"/>
                <w:b/>
                <w:i w:val="0"/>
                <w:sz w:val="17"/>
              </w:rPr>
              <w:t>Resistencia al cambio / adopción</w:t>
            </w:r>
            <w:r>
              <w:br/>
            </w:r>
            <w:r>
              <w:rPr>
                <w:rFonts w:ascii="Arial" w:hAnsi="Arial"/>
                <w:b/>
                <w:i w:val="0"/>
                <w:sz w:val="17"/>
              </w:rPr>
              <w:t>[Medio]</w:t>
            </w:r>
          </w:p>
        </w:tc>
        <w:tc>
          <w:tcPr>
            <w:tcW w:type="dxa" w:w="2160"/>
            <w:vAlign w:val="top"/>
          </w:tcPr>
          <w:p>
            <w:pPr>
              <w:spacing w:after="20" w:before="20"/>
              <w:jc w:val="center"/>
            </w:pPr>
            <w:r/>
            <w:r>
              <w:rPr>
                <w:rFonts w:ascii="Arial" w:hAnsi="Arial"/>
                <w:b/>
                <w:i w:val="0"/>
                <w:color w:val="1F4E78"/>
                <w:sz w:val="17"/>
              </w:rPr>
              <w:t>Reducir</w:t>
            </w:r>
          </w:p>
        </w:tc>
        <w:tc>
          <w:tcPr>
            <w:tcW w:type="dxa" w:w="2160"/>
            <w:vAlign w:val="top"/>
          </w:tcPr>
          <w:p>
            <w:pPr>
              <w:spacing w:after="20" w:before="20"/>
              <w:jc w:val="left"/>
            </w:pPr>
            <w:r/>
            <w:r>
              <w:rPr>
                <w:rFonts w:ascii="Arial" w:hAnsi="Arial"/>
                <w:b w:val="0"/>
                <w:i w:val="0"/>
                <w:sz w:val="16"/>
              </w:rPr>
              <w:t>Gestión del cambio; capacitación; comunicación de beneficios; champions internos.</w:t>
            </w:r>
          </w:p>
        </w:tc>
        <w:tc>
          <w:tcPr>
            <w:tcW w:type="dxa" w:w="2160"/>
            <w:vAlign w:val="top"/>
          </w:tcPr>
          <w:p>
            <w:pPr>
              <w:spacing w:after="20" w:before="20"/>
              <w:jc w:val="left"/>
            </w:pPr>
            <w:r/>
            <w:r>
              <w:rPr>
                <w:rFonts w:ascii="Arial" w:hAnsi="Arial"/>
                <w:b w:val="0"/>
                <w:i w:val="0"/>
                <w:sz w:val="16"/>
              </w:rPr>
              <w:t>Líder de proyecto + RR.HH.</w:t>
            </w:r>
          </w:p>
        </w:tc>
        <w:tc>
          <w:tcPr>
            <w:tcW w:type="dxa" w:w="2160"/>
            <w:vAlign w:val="top"/>
          </w:tcPr>
          <w:p>
            <w:pPr>
              <w:spacing w:after="20" w:before="20"/>
              <w:jc w:val="left"/>
            </w:pPr>
            <w:r/>
            <w:r>
              <w:rPr>
                <w:rFonts w:ascii="Arial" w:hAnsi="Arial"/>
                <w:b w:val="0"/>
                <w:i w:val="0"/>
                <w:sz w:val="16"/>
              </w:rPr>
              <w:t>Adopción del sistema ≥ 90%; satisfacción del equipo ≥ 80%.</w:t>
            </w:r>
          </w:p>
        </w:tc>
        <w:tc>
          <w:tcPr>
            <w:tcW w:type="dxa" w:w="2160"/>
            <w:vAlign w:val="top"/>
          </w:tcPr>
          <w:p>
            <w:pPr>
              <w:spacing w:after="20" w:before="20"/>
              <w:jc w:val="center"/>
            </w:pPr>
            <w:r/>
            <w:r>
              <w:rPr>
                <w:rFonts w:ascii="Arial" w:hAnsi="Arial"/>
                <w:b w:val="0"/>
                <w:i w:val="0"/>
                <w:sz w:val="17"/>
              </w:rPr>
              <w:t>11</w:t>
            </w:r>
          </w:p>
        </w:tc>
      </w:tr>
      <w:tr>
        <w:tc>
          <w:tcPr>
            <w:tcW w:type="dxa" w:w="2160"/>
            <w:vAlign w:val="top"/>
            <w:shd w:val="clear" w:color="auto" w:fill="FFF2CC"/>
          </w:tcPr>
          <w:p>
            <w:pPr>
              <w:spacing w:after="20" w:before="20"/>
              <w:jc w:val="left"/>
            </w:pPr>
            <w:r/>
            <w:r>
              <w:rPr>
                <w:rFonts w:ascii="Arial" w:hAnsi="Arial"/>
                <w:b/>
                <w:i w:val="0"/>
                <w:sz w:val="17"/>
              </w:rPr>
              <w:t>Escalabilidad y latencia</w:t>
            </w:r>
            <w:r>
              <w:br/>
            </w:r>
            <w:r>
              <w:rPr>
                <w:rFonts w:ascii="Arial" w:hAnsi="Arial"/>
                <w:b/>
                <w:i w:val="0"/>
                <w:sz w:val="17"/>
              </w:rPr>
              <w:t>[Medio]</w:t>
            </w:r>
          </w:p>
        </w:tc>
        <w:tc>
          <w:tcPr>
            <w:tcW w:type="dxa" w:w="2160"/>
            <w:vAlign w:val="top"/>
          </w:tcPr>
          <w:p>
            <w:pPr>
              <w:spacing w:after="20" w:before="20"/>
              <w:jc w:val="center"/>
            </w:pPr>
            <w:r/>
            <w:r>
              <w:rPr>
                <w:rFonts w:ascii="Arial" w:hAnsi="Arial"/>
                <w:b/>
                <w:i w:val="0"/>
                <w:color w:val="1F4E78"/>
                <w:sz w:val="17"/>
              </w:rPr>
              <w:t>Reducir</w:t>
            </w:r>
          </w:p>
        </w:tc>
        <w:tc>
          <w:tcPr>
            <w:tcW w:type="dxa" w:w="2160"/>
            <w:vAlign w:val="top"/>
          </w:tcPr>
          <w:p>
            <w:pPr>
              <w:spacing w:after="20" w:before="20"/>
              <w:jc w:val="left"/>
            </w:pPr>
            <w:r/>
            <w:r>
              <w:rPr>
                <w:rFonts w:ascii="Arial" w:hAnsi="Arial"/>
                <w:b w:val="0"/>
                <w:i w:val="0"/>
                <w:sz w:val="16"/>
              </w:rPr>
              <w:t>Pruebas de carga; autoescalado; optimización de inferencia.</w:t>
            </w:r>
          </w:p>
        </w:tc>
        <w:tc>
          <w:tcPr>
            <w:tcW w:type="dxa" w:w="2160"/>
            <w:vAlign w:val="top"/>
          </w:tcPr>
          <w:p>
            <w:pPr>
              <w:spacing w:after="20" w:before="20"/>
              <w:jc w:val="left"/>
            </w:pPr>
            <w:r/>
            <w:r>
              <w:rPr>
                <w:rFonts w:ascii="Arial" w:hAnsi="Arial"/>
                <w:b w:val="0"/>
                <w:i w:val="0"/>
                <w:sz w:val="16"/>
              </w:rPr>
              <w:t>Ingeniero de plataforma.</w:t>
            </w:r>
          </w:p>
        </w:tc>
        <w:tc>
          <w:tcPr>
            <w:tcW w:type="dxa" w:w="2160"/>
            <w:vAlign w:val="top"/>
          </w:tcPr>
          <w:p>
            <w:pPr>
              <w:spacing w:after="20" w:before="20"/>
              <w:jc w:val="left"/>
            </w:pPr>
            <w:r/>
            <w:r>
              <w:rPr>
                <w:rFonts w:ascii="Arial" w:hAnsi="Arial"/>
                <w:b w:val="0"/>
                <w:i w:val="0"/>
                <w:sz w:val="16"/>
              </w:rPr>
              <w:t>Latencia p95 ≤ 200 ms; disponibilidad ≥ 99.5%.</w:t>
            </w:r>
          </w:p>
        </w:tc>
        <w:tc>
          <w:tcPr>
            <w:tcW w:type="dxa" w:w="2160"/>
            <w:vAlign w:val="top"/>
          </w:tcPr>
          <w:p>
            <w:pPr>
              <w:spacing w:after="20" w:before="20"/>
              <w:jc w:val="center"/>
            </w:pPr>
            <w:r/>
            <w:r>
              <w:rPr>
                <w:rFonts w:ascii="Arial" w:hAnsi="Arial"/>
                <w:b w:val="0"/>
                <w:i w:val="0"/>
                <w:sz w:val="17"/>
              </w:rPr>
              <w:t>12</w:t>
            </w:r>
          </w:p>
        </w:tc>
      </w:tr>
      <w:tr>
        <w:tc>
          <w:tcPr>
            <w:tcW w:type="dxa" w:w="2160"/>
            <w:vAlign w:val="top"/>
            <w:shd w:val="clear" w:color="auto" w:fill="D9EAD3"/>
          </w:tcPr>
          <w:p>
            <w:pPr>
              <w:spacing w:after="20" w:before="20"/>
              <w:jc w:val="left"/>
            </w:pPr>
            <w:r/>
            <w:r>
              <w:rPr>
                <w:rFonts w:ascii="Arial" w:hAnsi="Arial"/>
                <w:b/>
                <w:i w:val="0"/>
                <w:sz w:val="17"/>
              </w:rPr>
              <w:t>Obsolescencia tecnológica</w:t>
            </w:r>
            <w:r>
              <w:br/>
            </w:r>
            <w:r>
              <w:rPr>
                <w:rFonts w:ascii="Arial" w:hAnsi="Arial"/>
                <w:b/>
                <w:i w:val="0"/>
                <w:sz w:val="17"/>
              </w:rPr>
              <w:t>[Bajo]</w:t>
            </w:r>
          </w:p>
        </w:tc>
        <w:tc>
          <w:tcPr>
            <w:tcW w:type="dxa" w:w="2160"/>
            <w:vAlign w:val="top"/>
          </w:tcPr>
          <w:p>
            <w:pPr>
              <w:spacing w:after="20" w:before="20"/>
              <w:jc w:val="center"/>
            </w:pPr>
            <w:r/>
            <w:r>
              <w:rPr>
                <w:rFonts w:ascii="Arial" w:hAnsi="Arial"/>
                <w:b/>
                <w:i w:val="0"/>
                <w:color w:val="1F4E78"/>
                <w:sz w:val="17"/>
              </w:rPr>
              <w:t>Aceptar</w:t>
            </w:r>
          </w:p>
        </w:tc>
        <w:tc>
          <w:tcPr>
            <w:tcW w:type="dxa" w:w="2160"/>
            <w:vAlign w:val="top"/>
          </w:tcPr>
          <w:p>
            <w:pPr>
              <w:spacing w:after="20" w:before="20"/>
              <w:jc w:val="left"/>
            </w:pPr>
            <w:r/>
            <w:r>
              <w:rPr>
                <w:rFonts w:ascii="Arial" w:hAnsi="Arial"/>
                <w:b w:val="0"/>
                <w:i w:val="0"/>
                <w:sz w:val="16"/>
              </w:rPr>
              <w:t>Monitoreo tecnológico; revisión anual del stack; plan de actualización gradual.</w:t>
            </w:r>
          </w:p>
        </w:tc>
        <w:tc>
          <w:tcPr>
            <w:tcW w:type="dxa" w:w="2160"/>
            <w:vAlign w:val="top"/>
          </w:tcPr>
          <w:p>
            <w:pPr>
              <w:spacing w:after="20" w:before="20"/>
              <w:jc w:val="left"/>
            </w:pPr>
            <w:r/>
            <w:r>
              <w:rPr>
                <w:rFonts w:ascii="Arial" w:hAnsi="Arial"/>
                <w:b w:val="0"/>
                <w:i w:val="0"/>
                <w:sz w:val="16"/>
              </w:rPr>
              <w:t>Arquitecto de soluciones.</w:t>
            </w:r>
          </w:p>
        </w:tc>
        <w:tc>
          <w:tcPr>
            <w:tcW w:type="dxa" w:w="2160"/>
            <w:vAlign w:val="top"/>
          </w:tcPr>
          <w:p>
            <w:pPr>
              <w:spacing w:after="20" w:before="20"/>
              <w:jc w:val="left"/>
            </w:pPr>
            <w:r/>
            <w:r>
              <w:rPr>
                <w:rFonts w:ascii="Arial" w:hAnsi="Arial"/>
                <w:b w:val="0"/>
                <w:i w:val="0"/>
                <w:sz w:val="16"/>
              </w:rPr>
              <w:t>Revisión anual realizada; deuda técnica controlada.</w:t>
            </w:r>
          </w:p>
        </w:tc>
        <w:tc>
          <w:tcPr>
            <w:tcW w:type="dxa" w:w="2160"/>
            <w:vAlign w:val="top"/>
          </w:tcPr>
          <w:p>
            <w:pPr>
              <w:spacing w:after="20" w:before="20"/>
              <w:jc w:val="center"/>
            </w:pPr>
            <w:r/>
            <w:r>
              <w:rPr>
                <w:rFonts w:ascii="Arial" w:hAnsi="Arial"/>
                <w:b w:val="0"/>
                <w:i w:val="0"/>
                <w:sz w:val="17"/>
              </w:rPr>
              <w:t>13</w:t>
            </w:r>
          </w:p>
        </w:tc>
      </w:tr>
    </w:tbl>
    <w:p>
      <w:pPr>
        <w:sectPr>
          <w:pgSz w:w="15840" w:h="12240" w:orient="landscape"/>
          <w:pgMar w:top="1296" w:right="1440" w:bottom="1296" w:left="1440" w:header="720" w:footer="720" w:gutter="0"/>
          <w:cols w:space="720"/>
          <w:docGrid w:linePitch="360"/>
        </w:sectPr>
      </w:pPr>
    </w:p>
    <w:p>
      <w:pPr>
        <w:pStyle w:val="Heading1"/>
      </w:pPr>
      <w:r>
        <w:t>6. Asignación y justificación de recursos (humanos y técnicos)</w:t>
      </w:r>
    </w:p>
    <w:p>
      <w:pPr>
        <w:spacing w:after="120" w:before="0"/>
        <w:jc w:val="both"/>
      </w:pPr>
      <w:r>
        <w:rPr>
          <w:rFonts w:ascii="Arial" w:hAnsi="Arial"/>
          <w:b w:val="0"/>
          <w:i w:val="0"/>
          <w:sz w:val="21"/>
        </w:rPr>
        <w:t>La gestión de riesgos se sostiene con un equipo multidisciplinario y un conjunto de recursos técnicos que, en su mayoría, ya están contemplados en el costo recurrente del proyecto ($3,100,000 MXN anuales). Esto significa que la mitigación de riesgos no requiere un gasto adicional significativo: está integrada en el modelo operativo.</w:t>
      </w:r>
    </w:p>
    <w:p>
      <w:pPr>
        <w:spacing w:after="60" w:before="80"/>
        <w:jc w:val="both"/>
      </w:pPr>
      <w:r>
        <w:rPr>
          <w:rFonts w:ascii="Arial" w:hAnsi="Arial"/>
          <w:b/>
          <w:i w:val="0"/>
          <w:color w:val="1F4E78"/>
          <w:sz w:val="21"/>
        </w:rPr>
        <w:t>Recursos humanos asignados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4320"/>
            <w:vAlign w:val="center"/>
            <w:shd w:val="clear" w:color="auto" w:fill="1F4E78"/>
          </w:tcPr>
          <w:p>
            <w:pPr>
              <w:spacing w:after="20" w:before="20"/>
              <w:jc w:val="center"/>
            </w:pPr>
            <w:r/>
            <w:r>
              <w:rPr>
                <w:rFonts w:ascii="Arial" w:hAnsi="Arial"/>
                <w:b/>
                <w:i w:val="0"/>
                <w:color w:val="FFFFFF"/>
                <w:sz w:val="19"/>
              </w:rPr>
              <w:t>Rol</w:t>
            </w:r>
          </w:p>
        </w:tc>
        <w:tc>
          <w:tcPr>
            <w:tcW w:type="dxa" w:w="1872"/>
            <w:vAlign w:val="center"/>
            <w:shd w:val="clear" w:color="auto" w:fill="1F4E78"/>
          </w:tcPr>
          <w:p>
            <w:pPr>
              <w:spacing w:after="20" w:before="20"/>
              <w:jc w:val="center"/>
            </w:pPr>
            <w:r/>
            <w:r>
              <w:rPr>
                <w:rFonts w:ascii="Arial" w:hAnsi="Arial"/>
                <w:b/>
                <w:i w:val="0"/>
                <w:color w:val="FFFFFF"/>
                <w:sz w:val="19"/>
              </w:rPr>
              <w:t>Dedicación</w:t>
            </w:r>
          </w:p>
        </w:tc>
        <w:tc>
          <w:tcPr>
            <w:tcW w:type="dxa" w:w="7272"/>
            <w:vAlign w:val="center"/>
            <w:shd w:val="clear" w:color="auto" w:fill="1F4E78"/>
          </w:tcPr>
          <w:p>
            <w:pPr>
              <w:spacing w:after="20" w:before="20"/>
              <w:jc w:val="center"/>
            </w:pPr>
            <w:r/>
            <w:r>
              <w:rPr>
                <w:rFonts w:ascii="Arial" w:hAnsi="Arial"/>
                <w:b/>
                <w:i w:val="0"/>
                <w:color w:val="FFFFFF"/>
                <w:sz w:val="19"/>
              </w:rPr>
              <w:t>Función en la gestión de riesgos</w:t>
            </w:r>
          </w:p>
        </w:tc>
      </w:tr>
      <w:tr>
        <w:tc>
          <w:tcPr>
            <w:tcW w:type="dxa" w:w="3120"/>
            <w:vAlign w:val="center"/>
          </w:tcPr>
          <w:p>
            <w:pPr>
              <w:spacing w:after="20" w:before="20"/>
              <w:jc w:val="left"/>
            </w:pPr>
            <w:r/>
            <w:r>
              <w:rPr>
                <w:rFonts w:ascii="Arial" w:hAnsi="Arial"/>
                <w:b/>
                <w:i w:val="0"/>
                <w:sz w:val="19"/>
              </w:rPr>
              <w:t>Líder de Ciencia de Datos</w:t>
            </w:r>
          </w:p>
        </w:tc>
        <w:tc>
          <w:tcPr>
            <w:tcW w:type="dxa" w:w="3120"/>
            <w:vAlign w:val="center"/>
          </w:tcPr>
          <w:p>
            <w:pPr>
              <w:spacing w:after="20" w:before="20"/>
              <w:jc w:val="center"/>
            </w:pPr>
            <w:r/>
            <w:r>
              <w:rPr>
                <w:rFonts w:ascii="Arial" w:hAnsi="Arial"/>
                <w:b w:val="0"/>
                <w:i w:val="0"/>
                <w:sz w:val="19"/>
              </w:rPr>
              <w:t>0.5 FTE</w:t>
            </w:r>
          </w:p>
        </w:tc>
        <w:tc>
          <w:tcPr>
            <w:tcW w:type="dxa" w:w="3120"/>
            <w:vAlign w:val="center"/>
          </w:tcPr>
          <w:p>
            <w:pPr>
              <w:spacing w:after="20" w:before="20"/>
              <w:jc w:val="left"/>
            </w:pPr>
            <w:r/>
            <w:r>
              <w:rPr>
                <w:rFonts w:ascii="Arial" w:hAnsi="Arial"/>
                <w:b w:val="0"/>
                <w:i w:val="0"/>
                <w:sz w:val="19"/>
              </w:rPr>
              <w:t>Sesgo, falsos negativos y calidad global del modelo</w:t>
            </w:r>
          </w:p>
        </w:tc>
      </w:tr>
      <w:tr>
        <w:tc>
          <w:tcPr>
            <w:tcW w:type="dxa" w:w="3120"/>
            <w:vAlign w:val="center"/>
          </w:tcPr>
          <w:p>
            <w:pPr>
              <w:spacing w:after="20" w:before="20"/>
              <w:jc w:val="left"/>
            </w:pPr>
            <w:r/>
            <w:r>
              <w:rPr>
                <w:rFonts w:ascii="Arial" w:hAnsi="Arial"/>
                <w:b/>
                <w:i w:val="0"/>
                <w:sz w:val="19"/>
              </w:rPr>
              <w:t>Ingeniero(s) de ML / MLOps</w:t>
            </w:r>
          </w:p>
        </w:tc>
        <w:tc>
          <w:tcPr>
            <w:tcW w:type="dxa" w:w="3120"/>
            <w:vAlign w:val="center"/>
          </w:tcPr>
          <w:p>
            <w:pPr>
              <w:spacing w:after="20" w:before="20"/>
              <w:jc w:val="center"/>
            </w:pPr>
            <w:r/>
            <w:r>
              <w:rPr>
                <w:rFonts w:ascii="Arial" w:hAnsi="Arial"/>
                <w:b w:val="0"/>
                <w:i w:val="0"/>
                <w:sz w:val="19"/>
              </w:rPr>
              <w:t>1.5 FTE</w:t>
            </w:r>
          </w:p>
        </w:tc>
        <w:tc>
          <w:tcPr>
            <w:tcW w:type="dxa" w:w="3120"/>
            <w:vAlign w:val="center"/>
          </w:tcPr>
          <w:p>
            <w:pPr>
              <w:spacing w:after="20" w:before="20"/>
              <w:jc w:val="left"/>
            </w:pPr>
            <w:r/>
            <w:r>
              <w:rPr>
                <w:rFonts w:ascii="Arial" w:hAnsi="Arial"/>
                <w:b w:val="0"/>
                <w:i w:val="0"/>
                <w:sz w:val="19"/>
              </w:rPr>
              <w:t>Explicabilidad, drift y mantenimiento del modelo</w:t>
            </w:r>
          </w:p>
        </w:tc>
      </w:tr>
      <w:tr>
        <w:tc>
          <w:tcPr>
            <w:tcW w:type="dxa" w:w="3120"/>
            <w:vAlign w:val="center"/>
          </w:tcPr>
          <w:p>
            <w:pPr>
              <w:spacing w:after="20" w:before="20"/>
              <w:jc w:val="left"/>
            </w:pPr>
            <w:r/>
            <w:r>
              <w:rPr>
                <w:rFonts w:ascii="Arial" w:hAnsi="Arial"/>
                <w:b/>
                <w:i w:val="0"/>
                <w:sz w:val="19"/>
              </w:rPr>
              <w:t>Oficial de Cumplimiento</w:t>
            </w:r>
          </w:p>
        </w:tc>
        <w:tc>
          <w:tcPr>
            <w:tcW w:type="dxa" w:w="3120"/>
            <w:vAlign w:val="center"/>
          </w:tcPr>
          <w:p>
            <w:pPr>
              <w:spacing w:after="20" w:before="20"/>
              <w:jc w:val="center"/>
            </w:pPr>
            <w:r/>
            <w:r>
              <w:rPr>
                <w:rFonts w:ascii="Arial" w:hAnsi="Arial"/>
                <w:b w:val="0"/>
                <w:i w:val="0"/>
                <w:sz w:val="19"/>
              </w:rPr>
              <w:t>0.3 FTE</w:t>
            </w:r>
          </w:p>
        </w:tc>
        <w:tc>
          <w:tcPr>
            <w:tcW w:type="dxa" w:w="3120"/>
            <w:vAlign w:val="center"/>
          </w:tcPr>
          <w:p>
            <w:pPr>
              <w:spacing w:after="20" w:before="20"/>
              <w:jc w:val="left"/>
            </w:pPr>
            <w:r/>
            <w:r>
              <w:rPr>
                <w:rFonts w:ascii="Arial" w:hAnsi="Arial"/>
                <w:b w:val="0"/>
                <w:i w:val="0"/>
                <w:sz w:val="19"/>
              </w:rPr>
              <w:t>Riesgo regulatorio y validación de explicabilidad</w:t>
            </w:r>
          </w:p>
        </w:tc>
      </w:tr>
      <w:tr>
        <w:tc>
          <w:tcPr>
            <w:tcW w:type="dxa" w:w="3120"/>
            <w:vAlign w:val="center"/>
          </w:tcPr>
          <w:p>
            <w:pPr>
              <w:spacing w:after="20" w:before="20"/>
              <w:jc w:val="left"/>
            </w:pPr>
            <w:r/>
            <w:r>
              <w:rPr>
                <w:rFonts w:ascii="Arial" w:hAnsi="Arial"/>
                <w:b/>
                <w:i w:val="0"/>
                <w:sz w:val="19"/>
              </w:rPr>
              <w:t>DPO / Equipo Legal</w:t>
            </w:r>
          </w:p>
        </w:tc>
        <w:tc>
          <w:tcPr>
            <w:tcW w:type="dxa" w:w="3120"/>
            <w:vAlign w:val="center"/>
          </w:tcPr>
          <w:p>
            <w:pPr>
              <w:spacing w:after="20" w:before="20"/>
              <w:jc w:val="center"/>
            </w:pPr>
            <w:r/>
            <w:r>
              <w:rPr>
                <w:rFonts w:ascii="Arial" w:hAnsi="Arial"/>
                <w:b w:val="0"/>
                <w:i w:val="0"/>
                <w:sz w:val="19"/>
              </w:rPr>
              <w:t>0.3 FTE</w:t>
            </w:r>
          </w:p>
        </w:tc>
        <w:tc>
          <w:tcPr>
            <w:tcW w:type="dxa" w:w="3120"/>
            <w:vAlign w:val="center"/>
          </w:tcPr>
          <w:p>
            <w:pPr>
              <w:spacing w:after="20" w:before="20"/>
              <w:jc w:val="left"/>
            </w:pPr>
            <w:r/>
            <w:r>
              <w:rPr>
                <w:rFonts w:ascii="Arial" w:hAnsi="Arial"/>
                <w:b w:val="0"/>
                <w:i w:val="0"/>
                <w:sz w:val="19"/>
              </w:rPr>
              <w:t>Ética, privacidad de datos y soporte regulatorio</w:t>
            </w:r>
          </w:p>
        </w:tc>
      </w:tr>
      <w:tr>
        <w:tc>
          <w:tcPr>
            <w:tcW w:type="dxa" w:w="3120"/>
            <w:vAlign w:val="center"/>
          </w:tcPr>
          <w:p>
            <w:pPr>
              <w:spacing w:after="20" w:before="20"/>
              <w:jc w:val="left"/>
            </w:pPr>
            <w:r/>
            <w:r>
              <w:rPr>
                <w:rFonts w:ascii="Arial" w:hAnsi="Arial"/>
                <w:b/>
                <w:i w:val="0"/>
                <w:sz w:val="19"/>
              </w:rPr>
              <w:t>CISO / Seguridad</w:t>
            </w:r>
          </w:p>
        </w:tc>
        <w:tc>
          <w:tcPr>
            <w:tcW w:type="dxa" w:w="3120"/>
            <w:vAlign w:val="center"/>
          </w:tcPr>
          <w:p>
            <w:pPr>
              <w:spacing w:after="20" w:before="20"/>
              <w:jc w:val="center"/>
            </w:pPr>
            <w:r/>
            <w:r>
              <w:rPr>
                <w:rFonts w:ascii="Arial" w:hAnsi="Arial"/>
                <w:b w:val="0"/>
                <w:i w:val="0"/>
                <w:sz w:val="19"/>
              </w:rPr>
              <w:t>0.2 FTE</w:t>
            </w:r>
          </w:p>
        </w:tc>
        <w:tc>
          <w:tcPr>
            <w:tcW w:type="dxa" w:w="3120"/>
            <w:vAlign w:val="center"/>
          </w:tcPr>
          <w:p>
            <w:pPr>
              <w:spacing w:after="20" w:before="20"/>
              <w:jc w:val="left"/>
            </w:pPr>
            <w:r/>
            <w:r>
              <w:rPr>
                <w:rFonts w:ascii="Arial" w:hAnsi="Arial"/>
                <w:b w:val="0"/>
                <w:i w:val="0"/>
                <w:sz w:val="19"/>
              </w:rPr>
              <w:t>Ataques adversarios y seguridad del sistema</w:t>
            </w:r>
          </w:p>
        </w:tc>
      </w:tr>
      <w:tr>
        <w:tc>
          <w:tcPr>
            <w:tcW w:type="dxa" w:w="3120"/>
            <w:vAlign w:val="center"/>
          </w:tcPr>
          <w:p>
            <w:pPr>
              <w:spacing w:after="20" w:before="20"/>
              <w:jc w:val="left"/>
            </w:pPr>
            <w:r/>
            <w:r>
              <w:rPr>
                <w:rFonts w:ascii="Arial" w:hAnsi="Arial"/>
                <w:b/>
                <w:i w:val="0"/>
                <w:sz w:val="19"/>
              </w:rPr>
              <w:t>Product Owner</w:t>
            </w:r>
          </w:p>
        </w:tc>
        <w:tc>
          <w:tcPr>
            <w:tcW w:type="dxa" w:w="3120"/>
            <w:vAlign w:val="center"/>
          </w:tcPr>
          <w:p>
            <w:pPr>
              <w:spacing w:after="20" w:before="20"/>
              <w:jc w:val="center"/>
            </w:pPr>
            <w:r/>
            <w:r>
              <w:rPr>
                <w:rFonts w:ascii="Arial" w:hAnsi="Arial"/>
                <w:b w:val="0"/>
                <w:i w:val="0"/>
                <w:sz w:val="19"/>
              </w:rPr>
              <w:t>0.3 FTE</w:t>
            </w:r>
          </w:p>
        </w:tc>
        <w:tc>
          <w:tcPr>
            <w:tcW w:type="dxa" w:w="3120"/>
            <w:vAlign w:val="center"/>
          </w:tcPr>
          <w:p>
            <w:pPr>
              <w:spacing w:after="20" w:before="20"/>
              <w:jc w:val="left"/>
            </w:pPr>
            <w:r/>
            <w:r>
              <w:rPr>
                <w:rFonts w:ascii="Arial" w:hAnsi="Arial"/>
                <w:b w:val="0"/>
                <w:i w:val="0"/>
                <w:sz w:val="19"/>
              </w:rPr>
              <w:t>Falsos positivos y adopción del producto</w:t>
            </w:r>
          </w:p>
        </w:tc>
      </w:tr>
      <w:tr>
        <w:tc>
          <w:tcPr>
            <w:tcW w:type="dxa" w:w="3120"/>
            <w:vAlign w:val="center"/>
          </w:tcPr>
          <w:p>
            <w:pPr>
              <w:spacing w:after="20" w:before="20"/>
              <w:jc w:val="left"/>
            </w:pPr>
            <w:r/>
            <w:r>
              <w:rPr>
                <w:rFonts w:ascii="Arial" w:hAnsi="Arial"/>
                <w:b/>
                <w:i w:val="0"/>
                <w:sz w:val="19"/>
              </w:rPr>
              <w:t>Comité de Ética de IA</w:t>
            </w:r>
          </w:p>
        </w:tc>
        <w:tc>
          <w:tcPr>
            <w:tcW w:type="dxa" w:w="3120"/>
            <w:vAlign w:val="center"/>
          </w:tcPr>
          <w:p>
            <w:pPr>
              <w:spacing w:after="20" w:before="20"/>
              <w:jc w:val="center"/>
            </w:pPr>
            <w:r/>
            <w:r>
              <w:rPr>
                <w:rFonts w:ascii="Arial" w:hAnsi="Arial"/>
                <w:b w:val="0"/>
                <w:i w:val="0"/>
                <w:sz w:val="19"/>
              </w:rPr>
              <w:t>Colegiado</w:t>
            </w:r>
          </w:p>
        </w:tc>
        <w:tc>
          <w:tcPr>
            <w:tcW w:type="dxa" w:w="3120"/>
            <w:vAlign w:val="center"/>
          </w:tcPr>
          <w:p>
            <w:pPr>
              <w:spacing w:after="20" w:before="20"/>
              <w:jc w:val="left"/>
            </w:pPr>
            <w:r/>
            <w:r>
              <w:rPr>
                <w:rFonts w:ascii="Arial" w:hAnsi="Arial"/>
                <w:b w:val="0"/>
                <w:i w:val="0"/>
                <w:sz w:val="19"/>
              </w:rPr>
              <w:t>Supervisión independiente de sesgo y ética</w:t>
            </w:r>
          </w:p>
        </w:tc>
      </w:tr>
      <w:tr>
        <w:tc>
          <w:tcPr>
            <w:tcW w:type="dxa" w:w="3120"/>
            <w:vAlign w:val="center"/>
          </w:tcPr>
          <w:p>
            <w:pPr>
              <w:spacing w:after="20" w:before="20"/>
              <w:jc w:val="left"/>
            </w:pPr>
            <w:r/>
            <w:r>
              <w:rPr>
                <w:rFonts w:ascii="Arial" w:hAnsi="Arial"/>
                <w:b/>
                <w:i w:val="0"/>
                <w:sz w:val="19"/>
              </w:rPr>
              <w:t>Equipo de Prevención de Fraude</w:t>
            </w:r>
          </w:p>
        </w:tc>
        <w:tc>
          <w:tcPr>
            <w:tcW w:type="dxa" w:w="3120"/>
            <w:vAlign w:val="center"/>
          </w:tcPr>
          <w:p>
            <w:pPr>
              <w:spacing w:after="20" w:before="20"/>
              <w:jc w:val="center"/>
            </w:pPr>
            <w:r/>
            <w:r>
              <w:rPr>
                <w:rFonts w:ascii="Arial" w:hAnsi="Arial"/>
                <w:b w:val="0"/>
                <w:i w:val="0"/>
                <w:sz w:val="19"/>
              </w:rPr>
              <w:t>Apoyo</w:t>
            </w:r>
          </w:p>
        </w:tc>
        <w:tc>
          <w:tcPr>
            <w:tcW w:type="dxa" w:w="3120"/>
            <w:vAlign w:val="center"/>
          </w:tcPr>
          <w:p>
            <w:pPr>
              <w:spacing w:after="20" w:before="20"/>
              <w:jc w:val="left"/>
            </w:pPr>
            <w:r/>
            <w:r>
              <w:rPr>
                <w:rFonts w:ascii="Arial" w:hAnsi="Arial"/>
                <w:b w:val="0"/>
                <w:i w:val="0"/>
                <w:sz w:val="19"/>
              </w:rPr>
              <w:t>Validación de negocio y casos de fraude</w:t>
            </w:r>
          </w:p>
        </w:tc>
      </w:tr>
    </w:tbl>
    <w:p>
      <w:pPr>
        <w:spacing w:after="60" w:before="160"/>
        <w:jc w:val="both"/>
      </w:pPr>
      <w:r>
        <w:rPr>
          <w:rFonts w:ascii="Arial" w:hAnsi="Arial"/>
          <w:b/>
          <w:i w:val="0"/>
          <w:color w:val="1F4E78"/>
          <w:sz w:val="21"/>
        </w:rPr>
        <w:t>Recursos técnicos y financieros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4320"/>
            <w:vAlign w:val="center"/>
            <w:shd w:val="clear" w:color="auto" w:fill="1F4E78"/>
          </w:tcPr>
          <w:p>
            <w:pPr>
              <w:spacing w:after="20" w:before="20"/>
              <w:jc w:val="center"/>
            </w:pPr>
            <w:r/>
            <w:r>
              <w:rPr>
                <w:rFonts w:ascii="Arial" w:hAnsi="Arial"/>
                <w:b/>
                <w:i w:val="0"/>
                <w:color w:val="FFFFFF"/>
                <w:sz w:val="19"/>
              </w:rPr>
              <w:t>Recurso</w:t>
            </w:r>
          </w:p>
        </w:tc>
        <w:tc>
          <w:tcPr>
            <w:tcW w:type="dxa" w:w="5760"/>
            <w:vAlign w:val="center"/>
            <w:shd w:val="clear" w:color="auto" w:fill="1F4E78"/>
          </w:tcPr>
          <w:p>
            <w:pPr>
              <w:spacing w:after="20" w:before="20"/>
              <w:jc w:val="center"/>
            </w:pPr>
            <w:r/>
            <w:r>
              <w:rPr>
                <w:rFonts w:ascii="Arial" w:hAnsi="Arial"/>
                <w:b/>
                <w:i w:val="0"/>
                <w:color w:val="FFFFFF"/>
                <w:sz w:val="19"/>
              </w:rPr>
              <w:t>Propósito</w:t>
            </w:r>
          </w:p>
        </w:tc>
        <w:tc>
          <w:tcPr>
            <w:tcW w:type="dxa" w:w="3384"/>
            <w:vAlign w:val="center"/>
            <w:shd w:val="clear" w:color="auto" w:fill="1F4E78"/>
          </w:tcPr>
          <w:p>
            <w:pPr>
              <w:spacing w:after="20" w:before="20"/>
              <w:jc w:val="center"/>
            </w:pPr>
            <w:r/>
            <w:r>
              <w:rPr>
                <w:rFonts w:ascii="Arial" w:hAnsi="Arial"/>
                <w:b/>
                <w:i w:val="0"/>
                <w:color w:val="FFFFFF"/>
                <w:sz w:val="19"/>
              </w:rPr>
              <w:t>Costo (ya en el modelo)</w:t>
            </w:r>
          </w:p>
        </w:tc>
      </w:tr>
      <w:tr>
        <w:tc>
          <w:tcPr>
            <w:tcW w:type="dxa" w:w="3120"/>
            <w:vAlign w:val="center"/>
          </w:tcPr>
          <w:p>
            <w:pPr>
              <w:spacing w:after="20" w:before="20"/>
              <w:jc w:val="left"/>
            </w:pPr>
            <w:r/>
            <w:r>
              <w:rPr>
                <w:rFonts w:ascii="Arial" w:hAnsi="Arial"/>
                <w:b/>
                <w:i w:val="0"/>
                <w:sz w:val="19"/>
              </w:rPr>
              <w:t>Plataforma MLOps</w:t>
            </w:r>
          </w:p>
        </w:tc>
        <w:tc>
          <w:tcPr>
            <w:tcW w:type="dxa" w:w="3120"/>
            <w:vAlign w:val="center"/>
          </w:tcPr>
          <w:p>
            <w:pPr>
              <w:spacing w:after="20" w:before="20"/>
              <w:jc w:val="left"/>
            </w:pPr>
            <w:r/>
            <w:r>
              <w:rPr>
                <w:rFonts w:ascii="Arial" w:hAnsi="Arial"/>
                <w:b w:val="0"/>
                <w:i w:val="0"/>
                <w:sz w:val="19"/>
              </w:rPr>
              <w:t>Despliegue, monitoreo y reentrenamiento del modelo</w:t>
            </w:r>
          </w:p>
        </w:tc>
        <w:tc>
          <w:tcPr>
            <w:tcW w:type="dxa" w:w="3120"/>
            <w:vAlign w:val="center"/>
          </w:tcPr>
          <w:p>
            <w:pPr>
              <w:spacing w:after="20" w:before="20"/>
              <w:jc w:val="center"/>
            </w:pPr>
            <w:r/>
            <w:r>
              <w:rPr>
                <w:rFonts w:ascii="Arial" w:hAnsi="Arial"/>
                <w:b w:val="0"/>
                <w:i w:val="0"/>
                <w:sz w:val="18"/>
              </w:rPr>
              <w:t>OPEX licencias + infra</w:t>
            </w:r>
          </w:p>
        </w:tc>
      </w:tr>
      <w:tr>
        <w:tc>
          <w:tcPr>
            <w:tcW w:type="dxa" w:w="3120"/>
            <w:vAlign w:val="center"/>
          </w:tcPr>
          <w:p>
            <w:pPr>
              <w:spacing w:after="20" w:before="20"/>
              <w:jc w:val="left"/>
            </w:pPr>
            <w:r/>
            <w:r>
              <w:rPr>
                <w:rFonts w:ascii="Arial" w:hAnsi="Arial"/>
                <w:b/>
                <w:i w:val="0"/>
                <w:sz w:val="19"/>
              </w:rPr>
              <w:t>Herramientas de fairness y explicabilidad</w:t>
            </w:r>
          </w:p>
        </w:tc>
        <w:tc>
          <w:tcPr>
            <w:tcW w:type="dxa" w:w="3120"/>
            <w:vAlign w:val="center"/>
          </w:tcPr>
          <w:p>
            <w:pPr>
              <w:spacing w:after="20" w:before="20"/>
              <w:jc w:val="left"/>
            </w:pPr>
            <w:r/>
            <w:r>
              <w:rPr>
                <w:rFonts w:ascii="Arial" w:hAnsi="Arial"/>
                <w:b w:val="0"/>
                <w:i w:val="0"/>
                <w:sz w:val="19"/>
              </w:rPr>
              <w:t>Mitigar sesgo y modelos de caja negra</w:t>
            </w:r>
          </w:p>
        </w:tc>
        <w:tc>
          <w:tcPr>
            <w:tcW w:type="dxa" w:w="3120"/>
            <w:vAlign w:val="center"/>
          </w:tcPr>
          <w:p>
            <w:pPr>
              <w:spacing w:after="20" w:before="20"/>
              <w:jc w:val="center"/>
            </w:pPr>
            <w:r/>
            <w:r>
              <w:rPr>
                <w:rFonts w:ascii="Arial" w:hAnsi="Arial"/>
                <w:b w:val="0"/>
                <w:i w:val="0"/>
                <w:sz w:val="18"/>
              </w:rPr>
              <w:t>Incluido en licencias</w:t>
            </w:r>
          </w:p>
        </w:tc>
      </w:tr>
      <w:tr>
        <w:tc>
          <w:tcPr>
            <w:tcW w:type="dxa" w:w="3120"/>
            <w:vAlign w:val="center"/>
          </w:tcPr>
          <w:p>
            <w:pPr>
              <w:spacing w:after="20" w:before="20"/>
              <w:jc w:val="left"/>
            </w:pPr>
            <w:r/>
            <w:r>
              <w:rPr>
                <w:rFonts w:ascii="Arial" w:hAnsi="Arial"/>
                <w:b/>
                <w:i w:val="0"/>
                <w:sz w:val="19"/>
              </w:rPr>
              <w:t>Monitoreo de drift y desempeño</w:t>
            </w:r>
          </w:p>
        </w:tc>
        <w:tc>
          <w:tcPr>
            <w:tcW w:type="dxa" w:w="3120"/>
            <w:vAlign w:val="center"/>
          </w:tcPr>
          <w:p>
            <w:pPr>
              <w:spacing w:after="20" w:before="20"/>
              <w:jc w:val="left"/>
            </w:pPr>
            <w:r/>
            <w:r>
              <w:rPr>
                <w:rFonts w:ascii="Arial" w:hAnsi="Arial"/>
                <w:b w:val="0"/>
                <w:i w:val="0"/>
                <w:sz w:val="19"/>
              </w:rPr>
              <w:t>Sostener la precisión del modelo en el tiempo</w:t>
            </w:r>
          </w:p>
        </w:tc>
        <w:tc>
          <w:tcPr>
            <w:tcW w:type="dxa" w:w="3120"/>
            <w:vAlign w:val="center"/>
          </w:tcPr>
          <w:p>
            <w:pPr>
              <w:spacing w:after="20" w:before="20"/>
              <w:jc w:val="center"/>
            </w:pPr>
            <w:r/>
            <w:r>
              <w:rPr>
                <w:rFonts w:ascii="Arial" w:hAnsi="Arial"/>
                <w:b w:val="0"/>
                <w:i w:val="0"/>
                <w:sz w:val="18"/>
              </w:rPr>
              <w:t>OPEX operación</w:t>
            </w:r>
          </w:p>
        </w:tc>
      </w:tr>
      <w:tr>
        <w:tc>
          <w:tcPr>
            <w:tcW w:type="dxa" w:w="3120"/>
            <w:vAlign w:val="center"/>
          </w:tcPr>
          <w:p>
            <w:pPr>
              <w:spacing w:after="20" w:before="20"/>
              <w:jc w:val="left"/>
            </w:pPr>
            <w:r/>
            <w:r>
              <w:rPr>
                <w:rFonts w:ascii="Arial" w:hAnsi="Arial"/>
                <w:b/>
                <w:i w:val="0"/>
                <w:sz w:val="19"/>
              </w:rPr>
              <w:t>Auditoría de sesgo, ética y cumplimiento</w:t>
            </w:r>
          </w:p>
        </w:tc>
        <w:tc>
          <w:tcPr>
            <w:tcW w:type="dxa" w:w="3120"/>
            <w:vAlign w:val="center"/>
          </w:tcPr>
          <w:p>
            <w:pPr>
              <w:spacing w:after="20" w:before="20"/>
              <w:jc w:val="left"/>
            </w:pPr>
            <w:r/>
            <w:r>
              <w:rPr>
                <w:rFonts w:ascii="Arial" w:hAnsi="Arial"/>
                <w:b w:val="0"/>
                <w:i w:val="0"/>
                <w:sz w:val="19"/>
              </w:rPr>
              <w:t>Riesgos de ética y regulatorios</w:t>
            </w:r>
          </w:p>
        </w:tc>
        <w:tc>
          <w:tcPr>
            <w:tcW w:type="dxa" w:w="3120"/>
            <w:vAlign w:val="center"/>
          </w:tcPr>
          <w:p>
            <w:pPr>
              <w:spacing w:after="20" w:before="20"/>
              <w:jc w:val="center"/>
            </w:pPr>
            <w:r/>
            <w:r>
              <w:rPr>
                <w:rFonts w:ascii="Arial" w:hAnsi="Arial"/>
                <w:b w:val="0"/>
                <w:i w:val="0"/>
                <w:sz w:val="18"/>
              </w:rPr>
              <w:t>$200,000 / año</w:t>
            </w:r>
          </w:p>
        </w:tc>
      </w:tr>
      <w:tr>
        <w:tc>
          <w:tcPr>
            <w:tcW w:type="dxa" w:w="3120"/>
            <w:vAlign w:val="center"/>
          </w:tcPr>
          <w:p>
            <w:pPr>
              <w:spacing w:after="20" w:before="20"/>
              <w:jc w:val="left"/>
            </w:pPr>
            <w:r/>
            <w:r>
              <w:rPr>
                <w:rFonts w:ascii="Arial" w:hAnsi="Arial"/>
                <w:b/>
                <w:i w:val="0"/>
                <w:sz w:val="19"/>
              </w:rPr>
              <w:t>Consultoría legal y regulatoria</w:t>
            </w:r>
          </w:p>
        </w:tc>
        <w:tc>
          <w:tcPr>
            <w:tcW w:type="dxa" w:w="3120"/>
            <w:vAlign w:val="center"/>
          </w:tcPr>
          <w:p>
            <w:pPr>
              <w:spacing w:after="20" w:before="20"/>
              <w:jc w:val="left"/>
            </w:pPr>
            <w:r/>
            <w:r>
              <w:rPr>
                <w:rFonts w:ascii="Arial" w:hAnsi="Arial"/>
                <w:b w:val="0"/>
                <w:i w:val="0"/>
                <w:sz w:val="19"/>
              </w:rPr>
              <w:t>Cumplimiento CNBV / LFPDPPP</w:t>
            </w:r>
          </w:p>
        </w:tc>
        <w:tc>
          <w:tcPr>
            <w:tcW w:type="dxa" w:w="3120"/>
            <w:vAlign w:val="center"/>
          </w:tcPr>
          <w:p>
            <w:pPr>
              <w:spacing w:after="20" w:before="20"/>
              <w:jc w:val="center"/>
            </w:pPr>
            <w:r/>
            <w:r>
              <w:rPr>
                <w:rFonts w:ascii="Arial" w:hAnsi="Arial"/>
                <w:b w:val="0"/>
                <w:i w:val="0"/>
                <w:sz w:val="18"/>
              </w:rPr>
              <w:t>$300,000 inicial</w:t>
            </w:r>
          </w:p>
        </w:tc>
      </w:tr>
      <w:tr>
        <w:tc>
          <w:tcPr>
            <w:tcW w:type="dxa" w:w="3120"/>
            <w:vAlign w:val="center"/>
          </w:tcPr>
          <w:p>
            <w:pPr>
              <w:spacing w:after="20" w:before="20"/>
              <w:jc w:val="left"/>
            </w:pPr>
            <w:r/>
            <w:r>
              <w:rPr>
                <w:rFonts w:ascii="Arial" w:hAnsi="Arial"/>
                <w:b/>
                <w:i w:val="0"/>
                <w:sz w:val="19"/>
              </w:rPr>
              <w:t>Pentesting y seguro cibernético</w:t>
            </w:r>
          </w:p>
        </w:tc>
        <w:tc>
          <w:tcPr>
            <w:tcW w:type="dxa" w:w="3120"/>
            <w:vAlign w:val="center"/>
          </w:tcPr>
          <w:p>
            <w:pPr>
              <w:spacing w:after="20" w:before="20"/>
              <w:jc w:val="left"/>
            </w:pPr>
            <w:r/>
            <w:r>
              <w:rPr>
                <w:rFonts w:ascii="Arial" w:hAnsi="Arial"/>
                <w:b w:val="0"/>
                <w:i w:val="0"/>
                <w:sz w:val="19"/>
              </w:rPr>
              <w:t>Seguridad y transferencia de riesgo</w:t>
            </w:r>
          </w:p>
        </w:tc>
        <w:tc>
          <w:tcPr>
            <w:tcW w:type="dxa" w:w="3120"/>
            <w:vAlign w:val="center"/>
          </w:tcPr>
          <w:p>
            <w:pPr>
              <w:spacing w:after="20" w:before="20"/>
              <w:jc w:val="center"/>
            </w:pPr>
            <w:r/>
            <w:r>
              <w:rPr>
                <w:rFonts w:ascii="Arial" w:hAnsi="Arial"/>
                <w:b w:val="0"/>
                <w:i w:val="0"/>
                <w:sz w:val="18"/>
              </w:rPr>
              <w:t>Reserva de contingencia</w:t>
            </w:r>
          </w:p>
        </w:tc>
      </w:tr>
    </w:tbl>
    <w:p>
      <w:pPr>
        <w:spacing w:after="0" w:before="120"/>
        <w:jc w:val="both"/>
      </w:pPr>
      <w:r>
        <w:rPr>
          <w:rFonts w:ascii="Arial" w:hAnsi="Arial"/>
          <w:b/>
          <w:i w:val="0"/>
          <w:sz w:val="21"/>
        </w:rPr>
        <w:t xml:space="preserve">Justificación. </w:t>
      </w:r>
    </w:p>
    <w:p>
      <w:pPr>
        <w:spacing w:after="120" w:before="0"/>
        <w:jc w:val="both"/>
      </w:pPr>
      <w:r>
        <w:rPr>
          <w:rFonts w:ascii="Arial" w:hAnsi="Arial"/>
          <w:b w:val="0"/>
          <w:i w:val="0"/>
          <w:sz w:val="21"/>
        </w:rPr>
        <w:t>La asignación concentra el talento más especializado y costoso —Ciencia de Datos, Ingeniería de ML/MLOps y el Comité de Ética— sobre los tres riesgos críticos (sesgo, explicabilidad y falsos negativos), que son precisamente los que amenazan la mayor parte del beneficio y la 'licencia para operar' del proyecto (continuidad regulatoria y reputacional). Los recursos técnicos —plataforma MLOps, herramientas de equidad y explicabilidad, y monitoreo— se justifican porque constituyen la columna vertebral operativa: sin ellos, el modelo se degrada (perdiendo beneficios) y no puede cumplir los requisitos del regulador. Dado que la mayor parte de estos costos ya está incluida en el OPEX, se recomienda además constituir una reserva de contingencia equivalente a ~10% de la inversión inicial (aproximadamente $640,000 MXN) para la respuesta a riesgos de baja probabilidad y alto impacto, como un incidente de seguridad o una remediación regulatoria.</w:t>
      </w:r>
    </w:p>
    <w:p>
      <w:pPr>
        <w:pStyle w:val="Heading1"/>
      </w:pPr>
      <w:r>
        <w:t>7. Integración del ROI con la gestión de riesgos</w:t>
      </w:r>
    </w:p>
    <w:p>
      <w:pPr>
        <w:spacing w:after="120" w:before="0"/>
        <w:jc w:val="both"/>
      </w:pPr>
      <w:r>
        <w:rPr>
          <w:rFonts w:ascii="Arial" w:hAnsi="Arial"/>
          <w:b w:val="0"/>
          <w:i w:val="0"/>
          <w:sz w:val="21"/>
        </w:rPr>
        <w:t>El retorno de inversión y la gestión de riesgos no son análisis separados: los beneficios estimados ($11,100,000 MXN anuales) solo se materializan si el modelo funciona correctamente, es confiable y cumple la normativa. Cada riesgo prioritario amenaza una porción concreta del valor del proyecto, y cada estrategia de mitigación actúa como una salvaguarda de ese valor: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4320"/>
            <w:vAlign w:val="center"/>
            <w:shd w:val="clear" w:color="auto" w:fill="1F4E78"/>
          </w:tcPr>
          <w:p>
            <w:pPr>
              <w:spacing w:after="20" w:before="20"/>
              <w:jc w:val="center"/>
            </w:pPr>
            <w:r/>
            <w:r>
              <w:rPr>
                <w:rFonts w:ascii="Arial" w:hAnsi="Arial"/>
                <w:b/>
                <w:i w:val="0"/>
                <w:color w:val="FFFFFF"/>
                <w:sz w:val="19"/>
              </w:rPr>
              <w:t>Riesgo prioritario</w:t>
            </w:r>
          </w:p>
        </w:tc>
        <w:tc>
          <w:tcPr>
            <w:tcW w:type="dxa" w:w="4752"/>
            <w:vAlign w:val="center"/>
            <w:shd w:val="clear" w:color="auto" w:fill="1F4E78"/>
          </w:tcPr>
          <w:p>
            <w:pPr>
              <w:spacing w:after="20" w:before="20"/>
              <w:jc w:val="center"/>
            </w:pPr>
            <w:r/>
            <w:r>
              <w:rPr>
                <w:rFonts w:ascii="Arial" w:hAnsi="Arial"/>
                <w:b/>
                <w:i w:val="0"/>
                <w:color w:val="FFFFFF"/>
                <w:sz w:val="19"/>
              </w:rPr>
              <w:t>Valor en juego</w:t>
            </w:r>
          </w:p>
        </w:tc>
        <w:tc>
          <w:tcPr>
            <w:tcW w:type="dxa" w:w="4392"/>
            <w:vAlign w:val="center"/>
            <w:shd w:val="clear" w:color="auto" w:fill="1F4E78"/>
          </w:tcPr>
          <w:p>
            <w:pPr>
              <w:spacing w:after="20" w:before="20"/>
              <w:jc w:val="center"/>
            </w:pPr>
            <w:r/>
            <w:r>
              <w:rPr>
                <w:rFonts w:ascii="Arial" w:hAnsi="Arial"/>
                <w:b/>
                <w:i w:val="0"/>
                <w:color w:val="FFFFFF"/>
                <w:sz w:val="19"/>
              </w:rPr>
              <w:t>Salvaguarda (mitigación)</w:t>
            </w:r>
          </w:p>
        </w:tc>
      </w:tr>
      <w:tr>
        <w:tc>
          <w:tcPr>
            <w:tcW w:type="dxa" w:w="3120"/>
            <w:vAlign w:val="center"/>
          </w:tcPr>
          <w:p>
            <w:pPr>
              <w:spacing w:after="20" w:before="20"/>
              <w:jc w:val="left"/>
            </w:pPr>
            <w:r/>
            <w:r>
              <w:rPr>
                <w:rFonts w:ascii="Arial" w:hAnsi="Arial"/>
                <w:b/>
                <w:i w:val="0"/>
                <w:sz w:val="19"/>
              </w:rPr>
              <w:t>Falsos negativos</w:t>
            </w:r>
          </w:p>
        </w:tc>
        <w:tc>
          <w:tcPr>
            <w:tcW w:type="dxa" w:w="3120"/>
            <w:vAlign w:val="center"/>
          </w:tcPr>
          <w:p>
            <w:pPr>
              <w:spacing w:after="20" w:before="20"/>
              <w:jc w:val="left"/>
            </w:pPr>
            <w:r/>
            <w:r>
              <w:rPr>
                <w:rFonts w:ascii="Arial" w:hAnsi="Arial"/>
                <w:b w:val="0"/>
                <w:i w:val="0"/>
                <w:sz w:val="19"/>
              </w:rPr>
              <w:t>Reducción de pérdidas por fraude ($7.0 M/año)</w:t>
            </w:r>
          </w:p>
        </w:tc>
        <w:tc>
          <w:tcPr>
            <w:tcW w:type="dxa" w:w="3120"/>
            <w:vAlign w:val="center"/>
          </w:tcPr>
          <w:p>
            <w:pPr>
              <w:spacing w:after="20" w:before="20"/>
              <w:jc w:val="left"/>
            </w:pPr>
            <w:r/>
            <w:r>
              <w:rPr>
                <w:rFonts w:ascii="Arial" w:hAnsi="Arial"/>
                <w:b w:val="0"/>
                <w:i w:val="0"/>
                <w:sz w:val="19"/>
              </w:rPr>
              <w:t>Recall ≥ 92% y monitoreo continuo</w:t>
            </w:r>
          </w:p>
        </w:tc>
      </w:tr>
      <w:tr>
        <w:tc>
          <w:tcPr>
            <w:tcW w:type="dxa" w:w="3120"/>
            <w:vAlign w:val="center"/>
          </w:tcPr>
          <w:p>
            <w:pPr>
              <w:spacing w:after="20" w:before="20"/>
              <w:jc w:val="left"/>
            </w:pPr>
            <w:r/>
            <w:r>
              <w:rPr>
                <w:rFonts w:ascii="Arial" w:hAnsi="Arial"/>
                <w:b/>
                <w:i w:val="0"/>
                <w:sz w:val="19"/>
              </w:rPr>
              <w:t>Falsos positivos</w:t>
            </w:r>
          </w:p>
        </w:tc>
        <w:tc>
          <w:tcPr>
            <w:tcW w:type="dxa" w:w="3120"/>
            <w:vAlign w:val="center"/>
          </w:tcPr>
          <w:p>
            <w:pPr>
              <w:spacing w:after="20" w:before="20"/>
              <w:jc w:val="left"/>
            </w:pPr>
            <w:r/>
            <w:r>
              <w:rPr>
                <w:rFonts w:ascii="Arial" w:hAnsi="Arial"/>
                <w:b w:val="0"/>
                <w:i w:val="0"/>
                <w:sz w:val="19"/>
              </w:rPr>
              <w:t>Recuperación de ventas ($1.4 M/año) y confianza</w:t>
            </w:r>
          </w:p>
        </w:tc>
        <w:tc>
          <w:tcPr>
            <w:tcW w:type="dxa" w:w="3120"/>
            <w:vAlign w:val="center"/>
          </w:tcPr>
          <w:p>
            <w:pPr>
              <w:spacing w:after="20" w:before="20"/>
              <w:jc w:val="left"/>
            </w:pPr>
            <w:r/>
            <w:r>
              <w:rPr>
                <w:rFonts w:ascii="Arial" w:hAnsi="Arial"/>
                <w:b w:val="0"/>
                <w:i w:val="0"/>
                <w:sz w:val="19"/>
              </w:rPr>
              <w:t>Precisión ≥ 90% y revisión de casos límite</w:t>
            </w:r>
          </w:p>
        </w:tc>
      </w:tr>
      <w:tr>
        <w:tc>
          <w:tcPr>
            <w:tcW w:type="dxa" w:w="3120"/>
            <w:vAlign w:val="center"/>
          </w:tcPr>
          <w:p>
            <w:pPr>
              <w:spacing w:after="20" w:before="20"/>
              <w:jc w:val="left"/>
            </w:pPr>
            <w:r/>
            <w:r>
              <w:rPr>
                <w:rFonts w:ascii="Arial" w:hAnsi="Arial"/>
                <w:b/>
                <w:i w:val="0"/>
                <w:sz w:val="19"/>
              </w:rPr>
              <w:t>Drift / mantenimiento</w:t>
            </w:r>
          </w:p>
        </w:tc>
        <w:tc>
          <w:tcPr>
            <w:tcW w:type="dxa" w:w="3120"/>
            <w:vAlign w:val="center"/>
          </w:tcPr>
          <w:p>
            <w:pPr>
              <w:spacing w:after="20" w:before="20"/>
              <w:jc w:val="left"/>
            </w:pPr>
            <w:r/>
            <w:r>
              <w:rPr>
                <w:rFonts w:ascii="Arial" w:hAnsi="Arial"/>
                <w:b w:val="0"/>
                <w:i w:val="0"/>
                <w:sz w:val="19"/>
              </w:rPr>
              <w:t>Sostenibilidad de todos los beneficios</w:t>
            </w:r>
          </w:p>
        </w:tc>
        <w:tc>
          <w:tcPr>
            <w:tcW w:type="dxa" w:w="3120"/>
            <w:vAlign w:val="center"/>
          </w:tcPr>
          <w:p>
            <w:pPr>
              <w:spacing w:after="20" w:before="20"/>
              <w:jc w:val="left"/>
            </w:pPr>
            <w:r/>
            <w:r>
              <w:rPr>
                <w:rFonts w:ascii="Arial" w:hAnsi="Arial"/>
                <w:b w:val="0"/>
                <w:i w:val="0"/>
                <w:sz w:val="19"/>
              </w:rPr>
              <w:t>Reentrenamiento y MLOps</w:t>
            </w:r>
          </w:p>
        </w:tc>
      </w:tr>
      <w:tr>
        <w:tc>
          <w:tcPr>
            <w:tcW w:type="dxa" w:w="3120"/>
            <w:vAlign w:val="center"/>
          </w:tcPr>
          <w:p>
            <w:pPr>
              <w:spacing w:after="20" w:before="20"/>
              <w:jc w:val="left"/>
            </w:pPr>
            <w:r/>
            <w:r>
              <w:rPr>
                <w:rFonts w:ascii="Arial" w:hAnsi="Arial"/>
                <w:b/>
                <w:i w:val="0"/>
                <w:sz w:val="19"/>
              </w:rPr>
              <w:t>Sesgo / Ética / Regulatorio</w:t>
            </w:r>
          </w:p>
        </w:tc>
        <w:tc>
          <w:tcPr>
            <w:tcW w:type="dxa" w:w="3120"/>
            <w:vAlign w:val="center"/>
          </w:tcPr>
          <w:p>
            <w:pPr>
              <w:spacing w:after="20" w:before="20"/>
              <w:jc w:val="left"/>
            </w:pPr>
            <w:r/>
            <w:r>
              <w:rPr>
                <w:rFonts w:ascii="Arial" w:hAnsi="Arial"/>
                <w:b w:val="0"/>
                <w:i w:val="0"/>
                <w:sz w:val="19"/>
              </w:rPr>
              <w:t>'Licencia para operar': reputación, multas, continuidad</w:t>
            </w:r>
          </w:p>
        </w:tc>
        <w:tc>
          <w:tcPr>
            <w:tcW w:type="dxa" w:w="3120"/>
            <w:vAlign w:val="center"/>
          </w:tcPr>
          <w:p>
            <w:pPr>
              <w:spacing w:after="20" w:before="20"/>
              <w:jc w:val="left"/>
            </w:pPr>
            <w:r/>
            <w:r>
              <w:rPr>
                <w:rFonts w:ascii="Arial" w:hAnsi="Arial"/>
                <w:b w:val="0"/>
                <w:i w:val="0"/>
                <w:sz w:val="19"/>
              </w:rPr>
              <w:t>Auditorías, cumplimiento y seguros</w:t>
            </w:r>
          </w:p>
        </w:tc>
      </w:tr>
      <w:tr>
        <w:tc>
          <w:tcPr>
            <w:tcW w:type="dxa" w:w="3120"/>
            <w:vAlign w:val="center"/>
          </w:tcPr>
          <w:p>
            <w:pPr>
              <w:spacing w:after="20" w:before="20"/>
              <w:jc w:val="left"/>
            </w:pPr>
            <w:r/>
            <w:r>
              <w:rPr>
                <w:rFonts w:ascii="Arial" w:hAnsi="Arial"/>
                <w:b/>
                <w:i w:val="0"/>
                <w:sz w:val="19"/>
              </w:rPr>
              <w:t>Explicabilidad</w:t>
            </w:r>
          </w:p>
        </w:tc>
        <w:tc>
          <w:tcPr>
            <w:tcW w:type="dxa" w:w="3120"/>
            <w:vAlign w:val="center"/>
          </w:tcPr>
          <w:p>
            <w:pPr>
              <w:spacing w:after="20" w:before="20"/>
              <w:jc w:val="left"/>
            </w:pPr>
            <w:r/>
            <w:r>
              <w:rPr>
                <w:rFonts w:ascii="Arial" w:hAnsi="Arial"/>
                <w:b w:val="0"/>
                <w:i w:val="0"/>
                <w:sz w:val="19"/>
              </w:rPr>
              <w:t>Continuidad regulatoria del sistema</w:t>
            </w:r>
          </w:p>
        </w:tc>
        <w:tc>
          <w:tcPr>
            <w:tcW w:type="dxa" w:w="3120"/>
            <w:vAlign w:val="center"/>
          </w:tcPr>
          <w:p>
            <w:pPr>
              <w:spacing w:after="20" w:before="20"/>
              <w:jc w:val="left"/>
            </w:pPr>
            <w:r/>
            <w:r>
              <w:rPr>
                <w:rFonts w:ascii="Arial" w:hAnsi="Arial"/>
                <w:b w:val="0"/>
                <w:i w:val="0"/>
                <w:sz w:val="19"/>
              </w:rPr>
              <w:t>Explicaciones trazables obligatorias</w:t>
            </w:r>
          </w:p>
        </w:tc>
      </w:tr>
      <w:tr>
        <w:tc>
          <w:tcPr>
            <w:tcW w:type="dxa" w:w="3120"/>
            <w:vAlign w:val="center"/>
          </w:tcPr>
          <w:p>
            <w:pPr>
              <w:spacing w:after="20" w:before="20"/>
              <w:jc w:val="left"/>
            </w:pPr>
            <w:r/>
            <w:r>
              <w:rPr>
                <w:rFonts w:ascii="Arial" w:hAnsi="Arial"/>
                <w:b/>
                <w:i w:val="0"/>
                <w:sz w:val="19"/>
              </w:rPr>
              <w:t>Seguridad</w:t>
            </w:r>
          </w:p>
        </w:tc>
        <w:tc>
          <w:tcPr>
            <w:tcW w:type="dxa" w:w="3120"/>
            <w:vAlign w:val="center"/>
          </w:tcPr>
          <w:p>
            <w:pPr>
              <w:spacing w:after="20" w:before="20"/>
              <w:jc w:val="left"/>
            </w:pPr>
            <w:r/>
            <w:r>
              <w:rPr>
                <w:rFonts w:ascii="Arial" w:hAnsi="Arial"/>
                <w:b w:val="0"/>
                <w:i w:val="0"/>
                <w:sz w:val="19"/>
              </w:rPr>
              <w:t>Integridad del sistema y de los datos</w:t>
            </w:r>
          </w:p>
        </w:tc>
        <w:tc>
          <w:tcPr>
            <w:tcW w:type="dxa" w:w="3120"/>
            <w:vAlign w:val="center"/>
          </w:tcPr>
          <w:p>
            <w:pPr>
              <w:spacing w:after="20" w:before="20"/>
              <w:jc w:val="left"/>
            </w:pPr>
            <w:r/>
            <w:r>
              <w:rPr>
                <w:rFonts w:ascii="Arial" w:hAnsi="Arial"/>
                <w:b w:val="0"/>
                <w:i w:val="0"/>
                <w:sz w:val="19"/>
              </w:rPr>
              <w:t>Hardening y seguro cibernético</w:t>
            </w:r>
          </w:p>
        </w:tc>
      </w:tr>
    </w:tbl>
    <w:p>
      <w:pPr>
        <w:spacing w:after="40" w:before="0"/>
        <w:jc w:val="both"/>
      </w:pPr>
      <w:r>
        <w:rPr>
          <w:rFonts w:ascii="Arial" w:hAnsi="Arial"/>
          <w:b w:val="0"/>
          <w:i w:val="0"/>
          <w:sz w:val="21"/>
        </w:rPr>
      </w:r>
    </w:p>
    <w:p>
      <w:pPr>
        <w:spacing w:after="60" w:before="80"/>
        <w:jc w:val="both"/>
      </w:pPr>
      <w:r>
        <w:rPr>
          <w:rFonts w:ascii="Arial" w:hAnsi="Arial"/>
          <w:b/>
          <w:i w:val="0"/>
          <w:sz w:val="21"/>
        </w:rPr>
        <w:t xml:space="preserve">Análisis de sensibilidad. </w:t>
      </w:r>
    </w:p>
    <w:p>
      <w:pPr>
        <w:spacing w:after="120" w:before="0"/>
        <w:jc w:val="both"/>
      </w:pPr>
      <w:r>
        <w:rPr>
          <w:rFonts w:ascii="Arial" w:hAnsi="Arial"/>
          <w:b w:val="0"/>
          <w:i w:val="0"/>
          <w:sz w:val="21"/>
        </w:rPr>
        <w:t>Para demostrar la resiliencia de la inversión se evaluaron tres escenarios a tres años. Incluso en el escenario adverso —en el que los riesgos de desempeño se materializan y los beneficios caen 25%— el proyecto sigue siendo rentable, con un ROI del 45.8% y un payback inferior a dos años. La gestión de riesgos es, precisamente, lo que mantiene al proyecto en el escenario base u optimista.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3528"/>
            <w:vAlign w:val="center"/>
            <w:shd w:val="clear" w:color="auto" w:fill="1F4E78"/>
          </w:tcPr>
          <w:p>
            <w:pPr>
              <w:spacing w:after="20" w:before="20"/>
              <w:jc w:val="center"/>
            </w:pPr>
            <w:r/>
            <w:r>
              <w:rPr>
                <w:rFonts w:ascii="Arial" w:hAnsi="Arial"/>
                <w:b/>
                <w:i w:val="0"/>
                <w:color w:val="FFFFFF"/>
                <w:sz w:val="19"/>
              </w:rPr>
              <w:t>Escenario</w:t>
            </w:r>
          </w:p>
        </w:tc>
        <w:tc>
          <w:tcPr>
            <w:tcW w:type="dxa" w:w="2880"/>
            <w:vAlign w:val="center"/>
            <w:shd w:val="clear" w:color="auto" w:fill="1F4E78"/>
          </w:tcPr>
          <w:p>
            <w:pPr>
              <w:spacing w:after="20" w:before="20"/>
              <w:jc w:val="center"/>
            </w:pPr>
            <w:r/>
            <w:r>
              <w:rPr>
                <w:rFonts w:ascii="Arial" w:hAnsi="Arial"/>
                <w:b/>
                <w:i w:val="0"/>
                <w:color w:val="FFFFFF"/>
                <w:sz w:val="19"/>
              </w:rPr>
              <w:t>Beneficios 3 años</w:t>
            </w:r>
          </w:p>
        </w:tc>
        <w:tc>
          <w:tcPr>
            <w:tcW w:type="dxa" w:w="2520"/>
            <w:vAlign w:val="center"/>
            <w:shd w:val="clear" w:color="auto" w:fill="1F4E78"/>
          </w:tcPr>
          <w:p>
            <w:pPr>
              <w:spacing w:after="20" w:before="20"/>
              <w:jc w:val="center"/>
            </w:pPr>
            <w:r/>
            <w:r>
              <w:rPr>
                <w:rFonts w:ascii="Arial" w:hAnsi="Arial"/>
                <w:b/>
                <w:i w:val="0"/>
                <w:color w:val="FFFFFF"/>
                <w:sz w:val="19"/>
              </w:rPr>
              <w:t>Beneficio neto</w:t>
            </w:r>
          </w:p>
        </w:tc>
        <w:tc>
          <w:tcPr>
            <w:tcW w:type="dxa" w:w="1440"/>
            <w:vAlign w:val="center"/>
            <w:shd w:val="clear" w:color="auto" w:fill="1F4E78"/>
          </w:tcPr>
          <w:p>
            <w:pPr>
              <w:spacing w:after="20" w:before="20"/>
              <w:jc w:val="center"/>
            </w:pPr>
            <w:r/>
            <w:r>
              <w:rPr>
                <w:rFonts w:ascii="Arial" w:hAnsi="Arial"/>
                <w:b/>
                <w:i w:val="0"/>
                <w:color w:val="FFFFFF"/>
                <w:sz w:val="19"/>
              </w:rPr>
              <w:t>ROI</w:t>
            </w:r>
          </w:p>
        </w:tc>
        <w:tc>
          <w:tcPr>
            <w:tcW w:type="dxa" w:w="3096"/>
            <w:vAlign w:val="center"/>
            <w:shd w:val="clear" w:color="auto" w:fill="1F4E78"/>
          </w:tcPr>
          <w:p>
            <w:pPr>
              <w:spacing w:after="20" w:before="20"/>
              <w:jc w:val="center"/>
            </w:pPr>
            <w:r/>
            <w:r>
              <w:rPr>
                <w:rFonts w:ascii="Arial" w:hAnsi="Arial"/>
                <w:b/>
                <w:i w:val="0"/>
                <w:color w:val="FFFFFF"/>
                <w:sz w:val="19"/>
              </w:rPr>
              <w:t>Payback</w:t>
            </w:r>
          </w:p>
        </w:tc>
      </w:tr>
      <w:tr>
        <w:tc>
          <w:tcPr>
            <w:tcW w:type="dxa" w:w="1872"/>
            <w:vAlign w:val="center"/>
            <w:shd w:val="clear" w:color="auto" w:fill="EEF3FA"/>
          </w:tcPr>
          <w:p>
            <w:pPr>
              <w:spacing w:after="20" w:before="20"/>
              <w:jc w:val="left"/>
            </w:pPr>
            <w:r/>
            <w:r>
              <w:rPr>
                <w:rFonts w:ascii="Arial" w:hAnsi="Arial"/>
                <w:b/>
                <w:i w:val="0"/>
                <w:sz w:val="19"/>
              </w:rPr>
              <w:t>Base (rampa 75/100/100)</w:t>
            </w:r>
          </w:p>
        </w:tc>
        <w:tc>
          <w:tcPr>
            <w:tcW w:type="dxa" w:w="1872"/>
            <w:vAlign w:val="center"/>
            <w:shd w:val="clear" w:color="auto" w:fill="EEF3FA"/>
          </w:tcPr>
          <w:p>
            <w:pPr>
              <w:spacing w:after="20" w:before="20"/>
              <w:jc w:val="center"/>
            </w:pPr>
            <w:r/>
            <w:r>
              <w:rPr>
                <w:rFonts w:ascii="Arial" w:hAnsi="Arial"/>
                <w:b w:val="0"/>
                <w:i w:val="0"/>
                <w:sz w:val="19"/>
              </w:rPr>
              <w:t>$30,525,000</w:t>
            </w:r>
          </w:p>
        </w:tc>
        <w:tc>
          <w:tcPr>
            <w:tcW w:type="dxa" w:w="1872"/>
            <w:vAlign w:val="center"/>
            <w:shd w:val="clear" w:color="auto" w:fill="EEF3FA"/>
          </w:tcPr>
          <w:p>
            <w:pPr>
              <w:spacing w:after="20" w:before="20"/>
              <w:jc w:val="center"/>
            </w:pPr>
            <w:r/>
            <w:r>
              <w:rPr>
                <w:rFonts w:ascii="Arial" w:hAnsi="Arial"/>
                <w:b w:val="0"/>
                <w:i w:val="0"/>
                <w:sz w:val="19"/>
              </w:rPr>
              <w:t>$14,825,000</w:t>
            </w:r>
          </w:p>
        </w:tc>
        <w:tc>
          <w:tcPr>
            <w:tcW w:type="dxa" w:w="1872"/>
            <w:vAlign w:val="center"/>
            <w:shd w:val="clear" w:color="auto" w:fill="EEF3FA"/>
          </w:tcPr>
          <w:p>
            <w:pPr>
              <w:spacing w:after="20" w:before="20"/>
              <w:jc w:val="center"/>
            </w:pPr>
            <w:r/>
            <w:r>
              <w:rPr>
                <w:rFonts w:ascii="Arial" w:hAnsi="Arial"/>
                <w:b/>
                <w:i w:val="0"/>
                <w:sz w:val="19"/>
              </w:rPr>
              <w:t>94.4%</w:t>
            </w:r>
          </w:p>
        </w:tc>
        <w:tc>
          <w:tcPr>
            <w:tcW w:type="dxa" w:w="1872"/>
            <w:vAlign w:val="center"/>
            <w:shd w:val="clear" w:color="auto" w:fill="EEF3FA"/>
          </w:tcPr>
          <w:p>
            <w:pPr>
              <w:spacing w:after="20" w:before="20"/>
              <w:jc w:val="center"/>
            </w:pPr>
            <w:r/>
            <w:r>
              <w:rPr>
                <w:rFonts w:ascii="Arial" w:hAnsi="Arial"/>
                <w:b w:val="0"/>
                <w:i w:val="0"/>
                <w:sz w:val="19"/>
              </w:rPr>
              <w:t>1.15 años</w:t>
            </w:r>
          </w:p>
        </w:tc>
      </w:tr>
      <w:tr>
        <w:tc>
          <w:tcPr>
            <w:tcW w:type="dxa" w:w="1872"/>
            <w:vAlign w:val="center"/>
          </w:tcPr>
          <w:p>
            <w:pPr>
              <w:spacing w:after="20" w:before="20"/>
              <w:jc w:val="left"/>
            </w:pPr>
            <w:r/>
            <w:r>
              <w:rPr>
                <w:rFonts w:ascii="Arial" w:hAnsi="Arial"/>
                <w:b w:val="0"/>
                <w:i w:val="0"/>
                <w:sz w:val="19"/>
              </w:rPr>
              <w:t>Adverso (beneficios −25%)</w:t>
            </w:r>
          </w:p>
        </w:tc>
        <w:tc>
          <w:tcPr>
            <w:tcW w:type="dxa" w:w="1872"/>
            <w:vAlign w:val="center"/>
          </w:tcPr>
          <w:p>
            <w:pPr>
              <w:spacing w:after="20" w:before="20"/>
              <w:jc w:val="center"/>
            </w:pPr>
            <w:r/>
            <w:r>
              <w:rPr>
                <w:rFonts w:ascii="Arial" w:hAnsi="Arial"/>
                <w:b w:val="0"/>
                <w:i w:val="0"/>
                <w:sz w:val="19"/>
              </w:rPr>
              <w:t>$22,893,750</w:t>
            </w:r>
          </w:p>
        </w:tc>
        <w:tc>
          <w:tcPr>
            <w:tcW w:type="dxa" w:w="1872"/>
            <w:vAlign w:val="center"/>
          </w:tcPr>
          <w:p>
            <w:pPr>
              <w:spacing w:after="20" w:before="20"/>
              <w:jc w:val="center"/>
            </w:pPr>
            <w:r/>
            <w:r>
              <w:rPr>
                <w:rFonts w:ascii="Arial" w:hAnsi="Arial"/>
                <w:b w:val="0"/>
                <w:i w:val="0"/>
                <w:sz w:val="19"/>
              </w:rPr>
              <w:t>$7,193,750</w:t>
            </w:r>
          </w:p>
        </w:tc>
        <w:tc>
          <w:tcPr>
            <w:tcW w:type="dxa" w:w="1872"/>
            <w:vAlign w:val="center"/>
          </w:tcPr>
          <w:p>
            <w:pPr>
              <w:spacing w:after="20" w:before="20"/>
              <w:jc w:val="center"/>
            </w:pPr>
            <w:r/>
            <w:r>
              <w:rPr>
                <w:rFonts w:ascii="Arial" w:hAnsi="Arial"/>
                <w:b/>
                <w:i w:val="0"/>
                <w:sz w:val="19"/>
              </w:rPr>
              <w:t>45.8%</w:t>
            </w:r>
          </w:p>
        </w:tc>
        <w:tc>
          <w:tcPr>
            <w:tcW w:type="dxa" w:w="1872"/>
            <w:vAlign w:val="center"/>
          </w:tcPr>
          <w:p>
            <w:pPr>
              <w:spacing w:after="20" w:before="20"/>
              <w:jc w:val="center"/>
            </w:pPr>
            <w:r/>
            <w:r>
              <w:rPr>
                <w:rFonts w:ascii="Arial" w:hAnsi="Arial"/>
                <w:b w:val="0"/>
                <w:i w:val="0"/>
                <w:sz w:val="19"/>
              </w:rPr>
              <w:t>≈1.6 años</w:t>
            </w:r>
          </w:p>
        </w:tc>
      </w:tr>
      <w:tr>
        <w:tc>
          <w:tcPr>
            <w:tcW w:type="dxa" w:w="1872"/>
            <w:vAlign w:val="center"/>
          </w:tcPr>
          <w:p>
            <w:pPr>
              <w:spacing w:after="20" w:before="20"/>
              <w:jc w:val="left"/>
            </w:pPr>
            <w:r/>
            <w:r>
              <w:rPr>
                <w:rFonts w:ascii="Arial" w:hAnsi="Arial"/>
                <w:b w:val="0"/>
                <w:i w:val="0"/>
                <w:sz w:val="19"/>
              </w:rPr>
              <w:t>Optimista (beneficios +10%)</w:t>
            </w:r>
          </w:p>
        </w:tc>
        <w:tc>
          <w:tcPr>
            <w:tcW w:type="dxa" w:w="1872"/>
            <w:vAlign w:val="center"/>
          </w:tcPr>
          <w:p>
            <w:pPr>
              <w:spacing w:after="20" w:before="20"/>
              <w:jc w:val="center"/>
            </w:pPr>
            <w:r/>
            <w:r>
              <w:rPr>
                <w:rFonts w:ascii="Arial" w:hAnsi="Arial"/>
                <w:b w:val="0"/>
                <w:i w:val="0"/>
                <w:sz w:val="19"/>
              </w:rPr>
              <w:t>$33,577,500</w:t>
            </w:r>
          </w:p>
        </w:tc>
        <w:tc>
          <w:tcPr>
            <w:tcW w:type="dxa" w:w="1872"/>
            <w:vAlign w:val="center"/>
          </w:tcPr>
          <w:p>
            <w:pPr>
              <w:spacing w:after="20" w:before="20"/>
              <w:jc w:val="center"/>
            </w:pPr>
            <w:r/>
            <w:r>
              <w:rPr>
                <w:rFonts w:ascii="Arial" w:hAnsi="Arial"/>
                <w:b w:val="0"/>
                <w:i w:val="0"/>
                <w:sz w:val="19"/>
              </w:rPr>
              <w:t>$17,877,500</w:t>
            </w:r>
          </w:p>
        </w:tc>
        <w:tc>
          <w:tcPr>
            <w:tcW w:type="dxa" w:w="1872"/>
            <w:vAlign w:val="center"/>
          </w:tcPr>
          <w:p>
            <w:pPr>
              <w:spacing w:after="20" w:before="20"/>
              <w:jc w:val="center"/>
            </w:pPr>
            <w:r/>
            <w:r>
              <w:rPr>
                <w:rFonts w:ascii="Arial" w:hAnsi="Arial"/>
                <w:b/>
                <w:i w:val="0"/>
                <w:sz w:val="19"/>
              </w:rPr>
              <w:t>113.9%</w:t>
            </w:r>
          </w:p>
        </w:tc>
        <w:tc>
          <w:tcPr>
            <w:tcW w:type="dxa" w:w="1872"/>
            <w:vAlign w:val="center"/>
          </w:tcPr>
          <w:p>
            <w:pPr>
              <w:spacing w:after="20" w:before="20"/>
              <w:jc w:val="center"/>
            </w:pPr>
            <w:r/>
            <w:r>
              <w:rPr>
                <w:rFonts w:ascii="Arial" w:hAnsi="Arial"/>
                <w:b w:val="0"/>
                <w:i w:val="0"/>
                <w:sz w:val="19"/>
              </w:rPr>
              <w:t>≈1.0 año</w:t>
            </w:r>
          </w:p>
        </w:tc>
      </w:tr>
    </w:tbl>
    <w:p>
      <w:pPr>
        <w:spacing w:after="40" w:before="0"/>
        <w:jc w:val="both"/>
      </w:pPr>
      <w:r>
        <w:rPr>
          <w:rFonts w:ascii="Arial" w:hAnsi="Arial"/>
          <w:b w:val="0"/>
          <w:i w:val="0"/>
          <w:sz w:val="21"/>
        </w:rPr>
      </w:r>
    </w:p>
    <w:p>
      <w:pPr>
        <w:spacing w:after="120" w:before="40"/>
        <w:jc w:val="both"/>
      </w:pPr>
      <w:r>
        <w:rPr>
          <w:rFonts w:ascii="Arial" w:hAnsi="Arial"/>
          <w:b w:val="0"/>
          <w:i w:val="0"/>
          <w:sz w:val="21"/>
        </w:rPr>
        <w:t>En conclusión, el costo de mitigar los riesgos —en su mayoría ya incluido en el OPEX— funciona como una 'póliza de seguro' barata frente al valor que protege: una fracción del gasto anual resguarda beneficios por más de $11 millones al año y evita pérdidas reputacionales y regulatorias difíciles de revertir.</w:t>
      </w:r>
    </w:p>
    <w:p>
      <w:pPr>
        <w:pStyle w:val="Heading1"/>
      </w:pPr>
      <w:r>
        <w:t>8. Conclusión y propuesta final</w:t>
      </w:r>
    </w:p>
    <w:p>
      <w:pPr>
        <w:spacing w:after="120" w:before="0"/>
        <w:jc w:val="both"/>
      </w:pPr>
      <w:r>
        <w:rPr>
          <w:rFonts w:ascii="Arial" w:hAnsi="Arial"/>
          <w:b w:val="0"/>
          <w:i w:val="0"/>
          <w:sz w:val="21"/>
        </w:rPr>
        <w:t>El proyecto de sistema de detección de fraudes con inteligencia artificial es económicamente viable y estratégicamente sólido. Los indicadores financieros son contundentes: ROI del 94.4% a tres años, VPN positivo de $10,336,972 MXN, TIR del 85.4% y recuperación de la inversión en aproximadamente 14 meses. El análisis de sensibilidad confirma que la inversión es resiliente incluso ante escenarios adversos.</w:t>
      </w:r>
    </w:p>
    <w:p>
      <w:pPr>
        <w:spacing w:after="120" w:before="0"/>
        <w:jc w:val="both"/>
      </w:pPr>
      <w:r>
        <w:rPr>
          <w:rFonts w:ascii="Arial" w:hAnsi="Arial"/>
          <w:b w:val="0"/>
          <w:i w:val="0"/>
          <w:sz w:val="21"/>
        </w:rPr>
        <w:t>La recomendación es aprobar la inversión, condicionada a la ejecución disciplinada del plan de mitigación. En particular, se recomienda: (1) concentrar los recursos especializados sobre los tres riesgos críticos —sesgo, explicabilidad y falsos negativos—; (2) mantener una gobernanza activa a través del Comité de Ética de IA y del Oficial de Cumplimiento; (3) operar los KPI definidos como tablero de control permanente; y (4) constituir la reserva de contingencia para riesgos de alto impacto.</w:t>
      </w:r>
    </w:p>
    <w:p>
      <w:pPr>
        <w:spacing w:after="120" w:before="0"/>
        <w:jc w:val="both"/>
      </w:pPr>
      <w:r>
        <w:rPr>
          <w:rFonts w:ascii="Arial" w:hAnsi="Arial"/>
          <w:b w:val="0"/>
          <w:i w:val="0"/>
          <w:sz w:val="21"/>
        </w:rPr>
        <w:t>Al integrar el análisis de retorno de inversión con la gestión de riesgos, esta propuesta no solo demuestra que el proyecto genera valor, sino que establece cómo protegerlo. Los tres entregables —la simulación financiera en Excel, el mapa de riesgos y este plan de mitigación— conforman una propuesta final coherente para llevar el proyecto de la idea a una implementación responsable y rentable.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Página </w:t>
    </w:r>
    <w:r>
      <w:rPr>
        <w:color w:val="595959"/>
        <w:sz w:val="16"/>
      </w:rPr>
      <w:fldChar w:fldCharType="begin"/>
      <w:instrText xml:space="preserve">PAGE</w:instrText>
      <w:fldChar w:fldCharType="end"/>
    </w:r>
    <w:r>
      <w:rPr>
        <w:rFonts w:ascii="Arial" w:hAnsi="Arial"/>
        <w:color w:val="595959"/>
        <w:sz w:val="16"/>
      </w:rPr>
      <w:t xml:space="preserve"> de </w:t>
    </w:r>
    <w:r>
      <w:rPr>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Detección de Fraudes con IA · Viabilidad y Gestión de Riesgos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2026-07-31T22:10:00Z</dcterms:created>
  <dcterms:modified xsi:type="dcterms:W3CDTF">2026-07-31T22:12:00Z</dcterms:modified>
  <cp:category/>
</cp:coreProperties>
</file>