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8526" w14:textId="77777777" w:rsidR="00671332" w:rsidRPr="00671332" w:rsidRDefault="00671332" w:rsidP="00671332">
      <w:pPr>
        <w:rPr>
          <w:lang w:val="en-US"/>
        </w:rPr>
      </w:pPr>
      <w:r w:rsidRPr="00671332">
        <w:rPr>
          <w:b/>
          <w:bCs/>
          <w:lang w:val="en-US"/>
        </w:rPr>
        <w:t>Analysis of School Performance and Spending</w:t>
      </w:r>
    </w:p>
    <w:p w14:paraId="2471FAEB" w14:textId="77777777" w:rsidR="00671332" w:rsidRPr="00671332" w:rsidRDefault="00671332" w:rsidP="00671332">
      <w:pPr>
        <w:rPr>
          <w:lang w:val="en-US"/>
        </w:rPr>
      </w:pPr>
    </w:p>
    <w:p w14:paraId="43B3C371" w14:textId="77777777" w:rsidR="00671332" w:rsidRPr="00671332" w:rsidRDefault="00671332" w:rsidP="00671332">
      <w:pPr>
        <w:rPr>
          <w:lang w:val="en-US"/>
        </w:rPr>
      </w:pPr>
      <w:r w:rsidRPr="00671332">
        <w:rPr>
          <w:b/>
          <w:bCs/>
          <w:lang w:val="en-US"/>
        </w:rPr>
        <w:t>1. Overview:</w:t>
      </w:r>
    </w:p>
    <w:p w14:paraId="625D971F" w14:textId="77777777" w:rsidR="00671332" w:rsidRPr="00671332" w:rsidRDefault="00671332" w:rsidP="00671332">
      <w:pPr>
        <w:rPr>
          <w:lang w:val="en-US"/>
        </w:rPr>
      </w:pPr>
    </w:p>
    <w:p w14:paraId="3B7B6EA2" w14:textId="77777777" w:rsidR="00671332" w:rsidRPr="00671332" w:rsidRDefault="00671332" w:rsidP="00671332">
      <w:pPr>
        <w:rPr>
          <w:lang w:val="en-US"/>
        </w:rPr>
      </w:pPr>
      <w:r w:rsidRPr="00671332">
        <w:rPr>
          <w:lang w:val="en-US"/>
        </w:rPr>
        <w:t>We started by analyzing a dataset containing student performance metrics across various schools. The data included attributes such as student names, gender, grade, school names, scores in reading and math, and other school-level information like budget and school type. This comprehensive dataset enabled us to delve into various aspects of student and school performance.</w:t>
      </w:r>
    </w:p>
    <w:p w14:paraId="095005AF" w14:textId="77777777" w:rsidR="00671332" w:rsidRPr="00671332" w:rsidRDefault="00671332" w:rsidP="00671332">
      <w:pPr>
        <w:rPr>
          <w:lang w:val="en-US"/>
        </w:rPr>
      </w:pPr>
    </w:p>
    <w:p w14:paraId="5DF6D354" w14:textId="77777777" w:rsidR="00671332" w:rsidRPr="00671332" w:rsidRDefault="00671332" w:rsidP="00671332">
      <w:pPr>
        <w:rPr>
          <w:lang w:val="en-US"/>
        </w:rPr>
      </w:pPr>
      <w:r w:rsidRPr="00671332">
        <w:rPr>
          <w:b/>
          <w:bCs/>
          <w:lang w:val="en-US"/>
        </w:rPr>
        <w:t>2. Total Schools, Students, and Budget:</w:t>
      </w:r>
    </w:p>
    <w:p w14:paraId="611625AA" w14:textId="77777777" w:rsidR="00671332" w:rsidRPr="00671332" w:rsidRDefault="00671332" w:rsidP="00671332">
      <w:pPr>
        <w:rPr>
          <w:lang w:val="en-US"/>
        </w:rPr>
      </w:pPr>
    </w:p>
    <w:p w14:paraId="29AFD708" w14:textId="77777777" w:rsidR="00671332" w:rsidRPr="00671332" w:rsidRDefault="00671332" w:rsidP="00671332">
      <w:pPr>
        <w:rPr>
          <w:lang w:val="en-US"/>
        </w:rPr>
      </w:pPr>
      <w:r w:rsidRPr="00671332">
        <w:rPr>
          <w:lang w:val="en-US"/>
        </w:rPr>
        <w:t>We calculated the total number of unique schools, total number of students, and total budget across all schools:</w:t>
      </w:r>
    </w:p>
    <w:p w14:paraId="59D91370" w14:textId="77777777" w:rsidR="00671332" w:rsidRPr="00671332" w:rsidRDefault="00671332" w:rsidP="00671332">
      <w:pPr>
        <w:rPr>
          <w:lang w:val="en-US"/>
        </w:rPr>
      </w:pPr>
    </w:p>
    <w:p w14:paraId="77CB9F1A"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Total Schools</w:t>
      </w:r>
      <w:r w:rsidRPr="00671332">
        <w:rPr>
          <w:lang w:val="en-US"/>
        </w:rPr>
        <w:t>: 15</w:t>
      </w:r>
    </w:p>
    <w:p w14:paraId="59A3AC78"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Total Students</w:t>
      </w:r>
      <w:r w:rsidRPr="00671332">
        <w:rPr>
          <w:lang w:val="en-US"/>
        </w:rPr>
        <w:t>: 39,170</w:t>
      </w:r>
    </w:p>
    <w:p w14:paraId="771C5361" w14:textId="2E2A3B69" w:rsidR="00671332" w:rsidRPr="00671332" w:rsidRDefault="00671332" w:rsidP="00671332">
      <w:pPr>
        <w:rPr>
          <w:lang w:val="en-US"/>
        </w:rPr>
      </w:pPr>
      <w:r w:rsidRPr="00671332">
        <w:rPr>
          <w:lang w:val="en-US"/>
        </w:rPr>
        <w:tab/>
        <w:t>•</w:t>
      </w:r>
      <w:r w:rsidRPr="00671332">
        <w:rPr>
          <w:lang w:val="en-US"/>
        </w:rPr>
        <w:tab/>
      </w:r>
      <w:r w:rsidRPr="00671332">
        <w:rPr>
          <w:b/>
          <w:bCs/>
          <w:lang w:val="en-US"/>
        </w:rPr>
        <w:t>Total Budget</w:t>
      </w:r>
      <w:r w:rsidRPr="00671332">
        <w:rPr>
          <w:lang w:val="en-US"/>
        </w:rPr>
        <w:t xml:space="preserve">: </w:t>
      </w:r>
      <w:r w:rsidR="00321110" w:rsidRPr="00321110">
        <w:rPr>
          <w:lang w:val="en-US"/>
        </w:rPr>
        <w:t>$82,932,329,558.00</w:t>
      </w:r>
    </w:p>
    <w:p w14:paraId="14B79DA3" w14:textId="77777777" w:rsidR="00671332" w:rsidRPr="00671332" w:rsidRDefault="00671332" w:rsidP="00671332">
      <w:pPr>
        <w:rPr>
          <w:lang w:val="en-US"/>
        </w:rPr>
      </w:pPr>
    </w:p>
    <w:p w14:paraId="6327312E" w14:textId="77777777" w:rsidR="00671332" w:rsidRPr="00671332" w:rsidRDefault="00671332" w:rsidP="00671332">
      <w:pPr>
        <w:rPr>
          <w:lang w:val="en-US"/>
        </w:rPr>
      </w:pPr>
      <w:r w:rsidRPr="00671332">
        <w:rPr>
          <w:lang w:val="en-US"/>
        </w:rPr>
        <w:t>These figures provide a foundational understanding of the scale of the educational system represented in the data.</w:t>
      </w:r>
    </w:p>
    <w:p w14:paraId="7196B00A" w14:textId="77777777" w:rsidR="00671332" w:rsidRPr="00671332" w:rsidRDefault="00671332" w:rsidP="00671332">
      <w:pPr>
        <w:rPr>
          <w:lang w:val="en-US"/>
        </w:rPr>
      </w:pPr>
    </w:p>
    <w:p w14:paraId="3CEC52EA" w14:textId="77777777" w:rsidR="00671332" w:rsidRPr="00671332" w:rsidRDefault="00671332" w:rsidP="00671332">
      <w:pPr>
        <w:rPr>
          <w:lang w:val="en-US"/>
        </w:rPr>
      </w:pPr>
      <w:r w:rsidRPr="00671332">
        <w:rPr>
          <w:b/>
          <w:bCs/>
          <w:lang w:val="en-US"/>
        </w:rPr>
        <w:t>3. Average Performance Metrics:</w:t>
      </w:r>
    </w:p>
    <w:p w14:paraId="5135A868" w14:textId="77777777" w:rsidR="00671332" w:rsidRPr="00671332" w:rsidRDefault="00671332" w:rsidP="00671332">
      <w:pPr>
        <w:rPr>
          <w:lang w:val="en-US"/>
        </w:rPr>
      </w:pPr>
    </w:p>
    <w:p w14:paraId="128A8FFA" w14:textId="77777777" w:rsidR="00671332" w:rsidRPr="00671332" w:rsidRDefault="00671332" w:rsidP="00671332">
      <w:pPr>
        <w:rPr>
          <w:lang w:val="en-US"/>
        </w:rPr>
      </w:pPr>
      <w:r w:rsidRPr="00671332">
        <w:rPr>
          <w:lang w:val="en-US"/>
        </w:rPr>
        <w:t>We computed the average math and reading scores across all students:</w:t>
      </w:r>
    </w:p>
    <w:p w14:paraId="68C21667" w14:textId="77777777" w:rsidR="00671332" w:rsidRPr="00671332" w:rsidRDefault="00671332" w:rsidP="00671332">
      <w:pPr>
        <w:rPr>
          <w:lang w:val="en-US"/>
        </w:rPr>
      </w:pPr>
    </w:p>
    <w:p w14:paraId="78E24A2D"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Average Math Score</w:t>
      </w:r>
      <w:r w:rsidRPr="00671332">
        <w:rPr>
          <w:lang w:val="en-US"/>
        </w:rPr>
        <w:t>: 78.99</w:t>
      </w:r>
    </w:p>
    <w:p w14:paraId="1C449B9B"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Average Reading Score</w:t>
      </w:r>
      <w:r w:rsidRPr="00671332">
        <w:rPr>
          <w:lang w:val="en-US"/>
        </w:rPr>
        <w:t>: 81.88</w:t>
      </w:r>
    </w:p>
    <w:p w14:paraId="0F125B82" w14:textId="77777777" w:rsidR="00671332" w:rsidRPr="00671332" w:rsidRDefault="00671332" w:rsidP="00671332">
      <w:pPr>
        <w:rPr>
          <w:lang w:val="en-US"/>
        </w:rPr>
      </w:pPr>
    </w:p>
    <w:p w14:paraId="4E4D47AB" w14:textId="77777777" w:rsidR="00671332" w:rsidRPr="00671332" w:rsidRDefault="00671332" w:rsidP="00671332">
      <w:pPr>
        <w:rPr>
          <w:lang w:val="en-US"/>
        </w:rPr>
      </w:pPr>
      <w:r w:rsidRPr="00671332">
        <w:rPr>
          <w:lang w:val="en-US"/>
        </w:rPr>
        <w:t>These results suggest that, on average, students performed slightly better in reading compared to math.</w:t>
      </w:r>
    </w:p>
    <w:p w14:paraId="05C342DE" w14:textId="77777777" w:rsidR="00671332" w:rsidRPr="00671332" w:rsidRDefault="00671332" w:rsidP="00671332">
      <w:pPr>
        <w:rPr>
          <w:lang w:val="en-US"/>
        </w:rPr>
      </w:pPr>
    </w:p>
    <w:p w14:paraId="2EE8E6A9" w14:textId="77777777" w:rsidR="00671332" w:rsidRPr="00671332" w:rsidRDefault="00671332" w:rsidP="00671332">
      <w:pPr>
        <w:rPr>
          <w:lang w:val="en-US"/>
        </w:rPr>
      </w:pPr>
      <w:r w:rsidRPr="00671332">
        <w:rPr>
          <w:b/>
          <w:bCs/>
          <w:lang w:val="en-US"/>
        </w:rPr>
        <w:t>4. Passing Rates in Math and Reading:</w:t>
      </w:r>
    </w:p>
    <w:p w14:paraId="37E5BB16" w14:textId="77777777" w:rsidR="00671332" w:rsidRPr="00671332" w:rsidRDefault="00671332" w:rsidP="00671332">
      <w:pPr>
        <w:rPr>
          <w:lang w:val="en-US"/>
        </w:rPr>
      </w:pPr>
    </w:p>
    <w:p w14:paraId="0346FEBB" w14:textId="77777777" w:rsidR="00671332" w:rsidRPr="00671332" w:rsidRDefault="00671332" w:rsidP="00671332">
      <w:pPr>
        <w:rPr>
          <w:lang w:val="en-US"/>
        </w:rPr>
      </w:pPr>
      <w:r w:rsidRPr="00671332">
        <w:rPr>
          <w:lang w:val="en-US"/>
        </w:rPr>
        <w:t>To gauge student performance more effectively, we analyzed the percentage of students who passed math and reading (scoring 70 or higher):</w:t>
      </w:r>
    </w:p>
    <w:p w14:paraId="55A70733" w14:textId="77777777" w:rsidR="00671332" w:rsidRPr="00671332" w:rsidRDefault="00671332" w:rsidP="00671332">
      <w:pPr>
        <w:rPr>
          <w:lang w:val="en-US"/>
        </w:rPr>
      </w:pPr>
    </w:p>
    <w:p w14:paraId="03CC235F"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 Passing Math</w:t>
      </w:r>
      <w:r w:rsidRPr="00671332">
        <w:rPr>
          <w:lang w:val="en-US"/>
        </w:rPr>
        <w:t>: 74.98%</w:t>
      </w:r>
    </w:p>
    <w:p w14:paraId="4975B6F2"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 Passing Reading</w:t>
      </w:r>
      <w:r w:rsidRPr="00671332">
        <w:rPr>
          <w:lang w:val="en-US"/>
        </w:rPr>
        <w:t>: 85.81%</w:t>
      </w:r>
    </w:p>
    <w:p w14:paraId="43F84E09" w14:textId="77777777" w:rsidR="00671332" w:rsidRPr="00671332" w:rsidRDefault="00671332" w:rsidP="00671332">
      <w:pPr>
        <w:rPr>
          <w:lang w:val="en-US"/>
        </w:rPr>
      </w:pPr>
    </w:p>
    <w:p w14:paraId="27D68D3B" w14:textId="77777777" w:rsidR="00671332" w:rsidRPr="00671332" w:rsidRDefault="00671332" w:rsidP="00671332">
      <w:pPr>
        <w:rPr>
          <w:lang w:val="en-US"/>
        </w:rPr>
      </w:pPr>
      <w:r w:rsidRPr="00671332">
        <w:rPr>
          <w:lang w:val="en-US"/>
        </w:rPr>
        <w:t>The higher passing rate in reading aligns with the slightly better average reading scores. This suggests that students, in general, find reading easier or are better supported in this subject compared to math.</w:t>
      </w:r>
    </w:p>
    <w:p w14:paraId="6CF4E1BA" w14:textId="77777777" w:rsidR="00671332" w:rsidRPr="00671332" w:rsidRDefault="00671332" w:rsidP="00671332">
      <w:pPr>
        <w:rPr>
          <w:lang w:val="en-US"/>
        </w:rPr>
      </w:pPr>
    </w:p>
    <w:p w14:paraId="09849FD9" w14:textId="77777777" w:rsidR="00671332" w:rsidRPr="00671332" w:rsidRDefault="00671332" w:rsidP="00671332">
      <w:pPr>
        <w:rPr>
          <w:lang w:val="en-US"/>
        </w:rPr>
      </w:pPr>
      <w:r w:rsidRPr="00671332">
        <w:rPr>
          <w:b/>
          <w:bCs/>
          <w:lang w:val="en-US"/>
        </w:rPr>
        <w:lastRenderedPageBreak/>
        <w:t>5. Overall Passing Rate:</w:t>
      </w:r>
    </w:p>
    <w:p w14:paraId="3FF5044D" w14:textId="77777777" w:rsidR="00671332" w:rsidRPr="00671332" w:rsidRDefault="00671332" w:rsidP="00671332">
      <w:pPr>
        <w:rPr>
          <w:lang w:val="en-US"/>
        </w:rPr>
      </w:pPr>
    </w:p>
    <w:p w14:paraId="35B2C7DA" w14:textId="77777777" w:rsidR="00671332" w:rsidRPr="00671332" w:rsidRDefault="00671332" w:rsidP="00671332">
      <w:pPr>
        <w:rPr>
          <w:lang w:val="en-US"/>
        </w:rPr>
      </w:pPr>
      <w:r w:rsidRPr="00671332">
        <w:rPr>
          <w:lang w:val="en-US"/>
        </w:rPr>
        <w:t>We also calculated the percentage of students who passed both math and reading:</w:t>
      </w:r>
    </w:p>
    <w:p w14:paraId="26A9D3C8" w14:textId="77777777" w:rsidR="00671332" w:rsidRPr="00671332" w:rsidRDefault="00671332" w:rsidP="00671332">
      <w:pPr>
        <w:rPr>
          <w:lang w:val="en-US"/>
        </w:rPr>
      </w:pPr>
    </w:p>
    <w:p w14:paraId="5C2E7479"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 Overall Passing</w:t>
      </w:r>
      <w:r w:rsidRPr="00671332">
        <w:rPr>
          <w:lang w:val="en-US"/>
        </w:rPr>
        <w:t>: 65.17%</w:t>
      </w:r>
    </w:p>
    <w:p w14:paraId="7D373778" w14:textId="77777777" w:rsidR="00671332" w:rsidRPr="00671332" w:rsidRDefault="00671332" w:rsidP="00671332">
      <w:pPr>
        <w:rPr>
          <w:lang w:val="en-US"/>
        </w:rPr>
      </w:pPr>
    </w:p>
    <w:p w14:paraId="4A57FDEA" w14:textId="77777777" w:rsidR="00671332" w:rsidRPr="00671332" w:rsidRDefault="00671332" w:rsidP="00671332">
      <w:pPr>
        <w:rPr>
          <w:lang w:val="en-US"/>
        </w:rPr>
      </w:pPr>
      <w:r w:rsidRPr="00671332">
        <w:rPr>
          <w:lang w:val="en-US"/>
        </w:rPr>
        <w:t>This metric is a strong indicator of comprehensive academic performance, showing that around two-thirds of the students are meeting or exceeding expectations in both subjects.</w:t>
      </w:r>
    </w:p>
    <w:p w14:paraId="2CB4D57F" w14:textId="77777777" w:rsidR="00671332" w:rsidRPr="00671332" w:rsidRDefault="00671332" w:rsidP="00671332">
      <w:pPr>
        <w:rPr>
          <w:lang w:val="en-US"/>
        </w:rPr>
      </w:pPr>
    </w:p>
    <w:p w14:paraId="306F3AA9" w14:textId="77777777" w:rsidR="00671332" w:rsidRPr="00671332" w:rsidRDefault="00671332" w:rsidP="00671332">
      <w:pPr>
        <w:rPr>
          <w:lang w:val="en-US"/>
        </w:rPr>
      </w:pPr>
      <w:r w:rsidRPr="00671332">
        <w:rPr>
          <w:b/>
          <w:bCs/>
          <w:lang w:val="en-US"/>
        </w:rPr>
        <w:t>6. Spending Analysis:</w:t>
      </w:r>
    </w:p>
    <w:p w14:paraId="362A30D9" w14:textId="77777777" w:rsidR="00671332" w:rsidRPr="00671332" w:rsidRDefault="00671332" w:rsidP="00671332">
      <w:pPr>
        <w:rPr>
          <w:lang w:val="en-US"/>
        </w:rPr>
      </w:pPr>
    </w:p>
    <w:p w14:paraId="0BA0CB4E" w14:textId="77777777" w:rsidR="00671332" w:rsidRPr="00671332" w:rsidRDefault="00671332" w:rsidP="00671332">
      <w:pPr>
        <w:rPr>
          <w:lang w:val="en-US"/>
        </w:rPr>
      </w:pPr>
      <w:r w:rsidRPr="00671332">
        <w:rPr>
          <w:lang w:val="en-US"/>
        </w:rPr>
        <w:t>Using the per-student budget data, we categorized the schools into spending ranges. This categorization helps us understand if and how the financial investment impacts performance. The spending ranges were defined as:</w:t>
      </w:r>
    </w:p>
    <w:p w14:paraId="32A413FA" w14:textId="77777777" w:rsidR="00671332" w:rsidRPr="00671332" w:rsidRDefault="00671332" w:rsidP="00671332">
      <w:pPr>
        <w:rPr>
          <w:lang w:val="en-US"/>
        </w:rPr>
      </w:pPr>
    </w:p>
    <w:p w14:paraId="5B9F30D7"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&lt;$585</w:t>
      </w:r>
    </w:p>
    <w:p w14:paraId="05218BD7"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$585-630</w:t>
      </w:r>
    </w:p>
    <w:p w14:paraId="72FE6183"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$630-645</w:t>
      </w:r>
    </w:p>
    <w:p w14:paraId="23EFD774"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$645-680</w:t>
      </w:r>
    </w:p>
    <w:p w14:paraId="4329302B" w14:textId="77777777" w:rsidR="00671332" w:rsidRPr="00671332" w:rsidRDefault="00671332" w:rsidP="00671332">
      <w:pPr>
        <w:rPr>
          <w:lang w:val="en-US"/>
        </w:rPr>
      </w:pPr>
    </w:p>
    <w:p w14:paraId="1E29AFD9" w14:textId="77777777" w:rsidR="00671332" w:rsidRPr="00671332" w:rsidRDefault="00671332" w:rsidP="00671332">
      <w:pPr>
        <w:rPr>
          <w:lang w:val="en-US"/>
        </w:rPr>
      </w:pPr>
      <w:r w:rsidRPr="00671332">
        <w:rPr>
          <w:b/>
          <w:bCs/>
          <w:lang w:val="en-US"/>
        </w:rPr>
        <w:t>7. Performance by School Size:</w:t>
      </w:r>
    </w:p>
    <w:p w14:paraId="404BE396" w14:textId="77777777" w:rsidR="00671332" w:rsidRPr="00671332" w:rsidRDefault="00671332" w:rsidP="00671332">
      <w:pPr>
        <w:rPr>
          <w:lang w:val="en-US"/>
        </w:rPr>
      </w:pPr>
    </w:p>
    <w:p w14:paraId="3A66BD78" w14:textId="77777777" w:rsidR="00671332" w:rsidRPr="00671332" w:rsidRDefault="00671332" w:rsidP="00671332">
      <w:pPr>
        <w:rPr>
          <w:lang w:val="en-US"/>
        </w:rPr>
      </w:pPr>
      <w:r w:rsidRPr="00671332">
        <w:rPr>
          <w:lang w:val="en-US"/>
        </w:rPr>
        <w:t>To understand the impact of school size on performance, we categorized schools based on the total number of students:</w:t>
      </w:r>
    </w:p>
    <w:p w14:paraId="127F857B" w14:textId="77777777" w:rsidR="00671332" w:rsidRPr="00671332" w:rsidRDefault="00671332" w:rsidP="00671332">
      <w:pPr>
        <w:rPr>
          <w:lang w:val="en-US"/>
        </w:rPr>
      </w:pPr>
    </w:p>
    <w:p w14:paraId="41306DD7"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Small (&lt;1000)</w:t>
      </w:r>
    </w:p>
    <w:p w14:paraId="79F2A6BF"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Medium (1000-2000)</w:t>
      </w:r>
    </w:p>
    <w:p w14:paraId="6CF3DED3" w14:textId="77777777" w:rsidR="00671332" w:rsidRPr="00671332" w:rsidRDefault="00671332" w:rsidP="00671332">
      <w:pPr>
        <w:rPr>
          <w:lang w:val="en-US"/>
        </w:rPr>
      </w:pPr>
      <w:r w:rsidRPr="00671332">
        <w:rPr>
          <w:lang w:val="en-US"/>
        </w:rPr>
        <w:tab/>
        <w:t>•</w:t>
      </w:r>
      <w:r w:rsidRPr="00671332">
        <w:rPr>
          <w:lang w:val="en-US"/>
        </w:rPr>
        <w:tab/>
      </w:r>
      <w:r w:rsidRPr="00671332">
        <w:rPr>
          <w:b/>
          <w:bCs/>
          <w:lang w:val="en-US"/>
        </w:rPr>
        <w:t>Large (2000-5000)</w:t>
      </w:r>
    </w:p>
    <w:p w14:paraId="62B84501" w14:textId="77777777" w:rsidR="00671332" w:rsidRPr="00671332" w:rsidRDefault="00671332" w:rsidP="00671332">
      <w:pPr>
        <w:rPr>
          <w:lang w:val="en-US"/>
        </w:rPr>
      </w:pPr>
    </w:p>
    <w:p w14:paraId="523C170C" w14:textId="7243EC1B" w:rsidR="00671332" w:rsidRPr="00671332" w:rsidRDefault="00671332" w:rsidP="00671332">
      <w:pPr>
        <w:rPr>
          <w:lang w:val="en-US"/>
        </w:rPr>
      </w:pPr>
      <w:r w:rsidRPr="00671332">
        <w:rPr>
          <w:lang w:val="en-US"/>
        </w:rPr>
        <w:t xml:space="preserve">This analysis can reveal trends such as whether smaller schools perform better due to smaller class sizes or if larger </w:t>
      </w:r>
      <w:r w:rsidRPr="00671332">
        <w:rPr>
          <w:lang w:val="en-US"/>
        </w:rPr>
        <w:t>schools</w:t>
      </w:r>
      <w:r w:rsidRPr="00671332">
        <w:rPr>
          <w:lang w:val="en-US"/>
        </w:rPr>
        <w:t xml:space="preserve"> benefit from more resources and specialized programs.</w:t>
      </w:r>
    </w:p>
    <w:p w14:paraId="664CFF79" w14:textId="77777777" w:rsidR="00671332" w:rsidRPr="00671332" w:rsidRDefault="00671332" w:rsidP="00671332">
      <w:pPr>
        <w:rPr>
          <w:lang w:val="en-US"/>
        </w:rPr>
      </w:pPr>
    </w:p>
    <w:p w14:paraId="32F1B62D" w14:textId="77777777" w:rsidR="00671332" w:rsidRPr="00671332" w:rsidRDefault="00671332" w:rsidP="00671332">
      <w:pPr>
        <w:rPr>
          <w:lang w:val="en-US"/>
        </w:rPr>
      </w:pPr>
      <w:r w:rsidRPr="00671332">
        <w:rPr>
          <w:b/>
          <w:bCs/>
          <w:lang w:val="en-US"/>
        </w:rPr>
        <w:t>8. Grade-Level Analysis:</w:t>
      </w:r>
    </w:p>
    <w:p w14:paraId="7DE6A16E" w14:textId="77777777" w:rsidR="00671332" w:rsidRPr="00671332" w:rsidRDefault="00671332" w:rsidP="00671332">
      <w:pPr>
        <w:rPr>
          <w:lang w:val="en-US"/>
        </w:rPr>
      </w:pPr>
    </w:p>
    <w:p w14:paraId="13CBE4F0" w14:textId="77777777" w:rsidR="00671332" w:rsidRPr="00671332" w:rsidRDefault="00671332" w:rsidP="00671332">
      <w:pPr>
        <w:rPr>
          <w:lang w:val="en-US"/>
        </w:rPr>
      </w:pPr>
      <w:r w:rsidRPr="00671332">
        <w:rPr>
          <w:lang w:val="en-US"/>
        </w:rPr>
        <w:t>We also broke down performance by grade levels (9th, 10th, 11th, and 12th) to identify trends across different stages of high school. For each grade, we calculated the average math and reading scores, providing a deeper insight into student progression and learning outcomes as they move through high school.</w:t>
      </w:r>
    </w:p>
    <w:p w14:paraId="101A74ED" w14:textId="77777777" w:rsidR="00671332" w:rsidRPr="00671332" w:rsidRDefault="00671332" w:rsidP="00671332">
      <w:pPr>
        <w:rPr>
          <w:lang w:val="en-US"/>
        </w:rPr>
      </w:pPr>
    </w:p>
    <w:p w14:paraId="4997384E" w14:textId="77777777" w:rsidR="00671332" w:rsidRDefault="00671332" w:rsidP="00671332">
      <w:pPr>
        <w:rPr>
          <w:b/>
          <w:bCs/>
          <w:lang w:val="en-US"/>
        </w:rPr>
      </w:pPr>
    </w:p>
    <w:p w14:paraId="4C97FDFE" w14:textId="77777777" w:rsidR="00671332" w:rsidRDefault="00671332" w:rsidP="00671332">
      <w:pPr>
        <w:rPr>
          <w:b/>
          <w:bCs/>
          <w:lang w:val="en-US"/>
        </w:rPr>
      </w:pPr>
    </w:p>
    <w:p w14:paraId="2767F157" w14:textId="77777777" w:rsidR="00671332" w:rsidRDefault="00671332" w:rsidP="00671332">
      <w:pPr>
        <w:rPr>
          <w:b/>
          <w:bCs/>
          <w:lang w:val="en-US"/>
        </w:rPr>
      </w:pPr>
    </w:p>
    <w:p w14:paraId="429092D6" w14:textId="77777777" w:rsidR="00671332" w:rsidRDefault="00671332" w:rsidP="00671332">
      <w:pPr>
        <w:rPr>
          <w:b/>
          <w:bCs/>
          <w:lang w:val="en-US"/>
        </w:rPr>
      </w:pPr>
    </w:p>
    <w:p w14:paraId="6204623E" w14:textId="59A24DD4" w:rsidR="00671332" w:rsidRPr="00671332" w:rsidRDefault="00671332" w:rsidP="00671332">
      <w:pPr>
        <w:rPr>
          <w:lang w:val="en-US"/>
        </w:rPr>
      </w:pPr>
      <w:r w:rsidRPr="00671332">
        <w:rPr>
          <w:b/>
          <w:bCs/>
          <w:lang w:val="en-US"/>
        </w:rPr>
        <w:lastRenderedPageBreak/>
        <w:t>Summary:</w:t>
      </w:r>
    </w:p>
    <w:p w14:paraId="5D39BC90" w14:textId="77777777" w:rsidR="00671332" w:rsidRPr="00671332" w:rsidRDefault="00671332" w:rsidP="00671332">
      <w:pPr>
        <w:rPr>
          <w:lang w:val="en-US"/>
        </w:rPr>
      </w:pPr>
    </w:p>
    <w:p w14:paraId="0B03CA90" w14:textId="77777777" w:rsidR="00671332" w:rsidRPr="00671332" w:rsidRDefault="00671332" w:rsidP="00671332">
      <w:pPr>
        <w:rPr>
          <w:lang w:val="en-US"/>
        </w:rPr>
      </w:pPr>
      <w:r w:rsidRPr="00671332">
        <w:rPr>
          <w:lang w:val="en-US"/>
        </w:rPr>
        <w:t>Our analysis reveals several key insights:</w:t>
      </w:r>
    </w:p>
    <w:p w14:paraId="2B7EBF85" w14:textId="77777777" w:rsidR="00671332" w:rsidRPr="00671332" w:rsidRDefault="00671332" w:rsidP="00671332">
      <w:pPr>
        <w:rPr>
          <w:lang w:val="en-US"/>
        </w:rPr>
      </w:pPr>
    </w:p>
    <w:p w14:paraId="3886168D" w14:textId="4A0EF586" w:rsidR="00671332" w:rsidRPr="00671332" w:rsidRDefault="00671332" w:rsidP="00671332">
      <w:pPr>
        <w:pStyle w:val="ListParagraph"/>
        <w:numPr>
          <w:ilvl w:val="0"/>
          <w:numId w:val="1"/>
        </w:numPr>
        <w:rPr>
          <w:lang w:val="en-US"/>
        </w:rPr>
      </w:pPr>
      <w:r w:rsidRPr="00671332">
        <w:rPr>
          <w:b/>
          <w:bCs/>
          <w:lang w:val="en-US"/>
        </w:rPr>
        <w:t>Reading performance</w:t>
      </w:r>
      <w:r w:rsidRPr="00671332">
        <w:rPr>
          <w:lang w:val="en-US"/>
        </w:rPr>
        <w:t xml:space="preserve"> consistently outpaces math performance in terms of both average scores and passing rates.</w:t>
      </w:r>
    </w:p>
    <w:p w14:paraId="0B1BF2C5" w14:textId="5EAE293F" w:rsidR="00671332" w:rsidRPr="00671332" w:rsidRDefault="00671332" w:rsidP="00671332">
      <w:pPr>
        <w:pStyle w:val="ListParagraph"/>
        <w:numPr>
          <w:ilvl w:val="0"/>
          <w:numId w:val="1"/>
        </w:numPr>
        <w:rPr>
          <w:lang w:val="en-US"/>
        </w:rPr>
      </w:pPr>
      <w:r w:rsidRPr="00671332">
        <w:rPr>
          <w:b/>
          <w:bCs/>
          <w:lang w:val="en-US"/>
        </w:rPr>
        <w:t>Overall academic performance</w:t>
      </w:r>
      <w:r w:rsidRPr="00671332">
        <w:rPr>
          <w:lang w:val="en-US"/>
        </w:rPr>
        <w:t xml:space="preserve"> sees around two-thirds of students meeting expectations in both subjects.</w:t>
      </w:r>
    </w:p>
    <w:p w14:paraId="4A3D3759" w14:textId="7C9496A5" w:rsidR="00671332" w:rsidRPr="00671332" w:rsidRDefault="00671332" w:rsidP="00671332">
      <w:pPr>
        <w:pStyle w:val="ListParagraph"/>
        <w:numPr>
          <w:ilvl w:val="0"/>
          <w:numId w:val="1"/>
        </w:numPr>
        <w:rPr>
          <w:lang w:val="en-US"/>
        </w:rPr>
      </w:pPr>
      <w:r w:rsidRPr="00671332">
        <w:rPr>
          <w:b/>
          <w:bCs/>
          <w:lang w:val="en-US"/>
        </w:rPr>
        <w:t>Spending per student</w:t>
      </w:r>
      <w:r w:rsidRPr="00671332">
        <w:rPr>
          <w:lang w:val="en-US"/>
        </w:rPr>
        <w:t xml:space="preserve"> and </w:t>
      </w:r>
      <w:r w:rsidRPr="00671332">
        <w:rPr>
          <w:b/>
          <w:bCs/>
          <w:lang w:val="en-US"/>
        </w:rPr>
        <w:t>school size</w:t>
      </w:r>
      <w:r w:rsidRPr="00671332">
        <w:rPr>
          <w:lang w:val="en-US"/>
        </w:rPr>
        <w:t xml:space="preserve"> could potentially influence performance, although further analysis would be required to establish concrete trends.</w:t>
      </w:r>
    </w:p>
    <w:p w14:paraId="6DF34445" w14:textId="76FDEF8A" w:rsidR="001A0DC5" w:rsidRDefault="00671332" w:rsidP="00671332">
      <w:pPr>
        <w:pStyle w:val="ListParagraph"/>
        <w:numPr>
          <w:ilvl w:val="0"/>
          <w:numId w:val="1"/>
        </w:numPr>
      </w:pPr>
      <w:r w:rsidRPr="00671332">
        <w:rPr>
          <w:b/>
          <w:bCs/>
          <w:lang w:val="en-US"/>
        </w:rPr>
        <w:t>Grade-level breakdowns</w:t>
      </w:r>
      <w:r w:rsidRPr="00671332">
        <w:rPr>
          <w:lang w:val="en-US"/>
        </w:rPr>
        <w:t xml:space="preserve"> can help identify specific areas of improvement or excellence within each school, providing a more targeted approach for enhancing educational outcomes.</w:t>
      </w:r>
    </w:p>
    <w:sectPr w:rsidR="001A0D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92926"/>
    <w:multiLevelType w:val="hybridMultilevel"/>
    <w:tmpl w:val="9E26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18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32"/>
    <w:rsid w:val="001A0DC5"/>
    <w:rsid w:val="00321110"/>
    <w:rsid w:val="00321790"/>
    <w:rsid w:val="00671332"/>
    <w:rsid w:val="00C145D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7810AB3"/>
  <w15:chartTrackingRefBased/>
  <w15:docId w15:val="{A9D87AC1-9DDD-254A-8B3D-5DFEFDB9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3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3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3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3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332"/>
    <w:rPr>
      <w:rFonts w:eastAsiaTheme="majorEastAsia" w:cstheme="majorBidi"/>
      <w:color w:val="272727" w:themeColor="text1" w:themeTint="D8"/>
    </w:rPr>
  </w:style>
  <w:style w:type="paragraph" w:styleId="Title">
    <w:name w:val="Title"/>
    <w:basedOn w:val="Normal"/>
    <w:next w:val="Normal"/>
    <w:link w:val="TitleChar"/>
    <w:uiPriority w:val="10"/>
    <w:qFormat/>
    <w:rsid w:val="006713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3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3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1332"/>
    <w:rPr>
      <w:i/>
      <w:iCs/>
      <w:color w:val="404040" w:themeColor="text1" w:themeTint="BF"/>
    </w:rPr>
  </w:style>
  <w:style w:type="paragraph" w:styleId="ListParagraph">
    <w:name w:val="List Paragraph"/>
    <w:basedOn w:val="Normal"/>
    <w:uiPriority w:val="34"/>
    <w:qFormat/>
    <w:rsid w:val="00671332"/>
    <w:pPr>
      <w:ind w:left="720"/>
      <w:contextualSpacing/>
    </w:pPr>
  </w:style>
  <w:style w:type="character" w:styleId="IntenseEmphasis">
    <w:name w:val="Intense Emphasis"/>
    <w:basedOn w:val="DefaultParagraphFont"/>
    <w:uiPriority w:val="21"/>
    <w:qFormat/>
    <w:rsid w:val="00671332"/>
    <w:rPr>
      <w:i/>
      <w:iCs/>
      <w:color w:val="0F4761" w:themeColor="accent1" w:themeShade="BF"/>
    </w:rPr>
  </w:style>
  <w:style w:type="paragraph" w:styleId="IntenseQuote">
    <w:name w:val="Intense Quote"/>
    <w:basedOn w:val="Normal"/>
    <w:next w:val="Normal"/>
    <w:link w:val="IntenseQuoteChar"/>
    <w:uiPriority w:val="30"/>
    <w:qFormat/>
    <w:rsid w:val="00671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332"/>
    <w:rPr>
      <w:i/>
      <w:iCs/>
      <w:color w:val="0F4761" w:themeColor="accent1" w:themeShade="BF"/>
    </w:rPr>
  </w:style>
  <w:style w:type="character" w:styleId="IntenseReference">
    <w:name w:val="Intense Reference"/>
    <w:basedOn w:val="DefaultParagraphFont"/>
    <w:uiPriority w:val="32"/>
    <w:qFormat/>
    <w:rsid w:val="006713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Ochoa</dc:creator>
  <cp:keywords/>
  <dc:description/>
  <cp:lastModifiedBy>Gerardo  Ochoa</cp:lastModifiedBy>
  <cp:revision>2</cp:revision>
  <dcterms:created xsi:type="dcterms:W3CDTF">2024-10-07T18:04:00Z</dcterms:created>
  <dcterms:modified xsi:type="dcterms:W3CDTF">2024-10-07T18:15:00Z</dcterms:modified>
</cp:coreProperties>
</file>