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spacing w:after="0"/>
        <w:jc w:val="center"/>
      </w:pPr>
      <w:r>
        <w:rPr>
          <w:rFonts w:ascii="Segoe UI" w:hAnsi="Segoe UI"/>
          <w:b/>
          <w:color w:val="365F91"/>
          <w:sz w:val="52"/>
        </w:rPr>
        <w:t>Reporte de Rechazos</w:t>
      </w:r>
    </w:p>
    <w:p>
      <w:pPr>
        <w:spacing w:after="0"/>
        <w:jc w:val="center"/>
      </w:pPr>
      <w:r>
        <w:rPr>
          <w:rFonts w:ascii="Segoe UI" w:hAnsi="Segoe UI"/>
          <w:sz w:val="32"/>
        </w:rPr>
        <w:t>Categoría</w:t>
      </w:r>
    </w:p>
    <w:p>
      <w:pPr>
        <w:spacing w:before="0"/>
        <w:jc w:val="center"/>
      </w:pPr>
      <w:r>
        <w:rPr>
          <w:rFonts w:ascii="Segoe UI" w:hAnsi="Segoe UI"/>
          <w:sz w:val="24"/>
        </w:rPr>
        <w:t>Por Motivo de Anulacion</w:t>
      </w:r>
    </w:p>
    <w:p/>
    <w:p/>
    <w:p>
      <w:pPr>
        <w:jc w:val="left"/>
      </w:pPr>
      <w:r>
        <w:rPr>
          <w:rFonts w:ascii="Segoe UI" w:hAnsi="Segoe UI"/>
          <w:color w:val="0066CC"/>
          <w:sz w:val="32"/>
        </w:rPr>
        <w:t>Resumen</w:t>
      </w:r>
    </w:p>
    <w:p>
      <w:pPr>
        <w:jc w:val="left"/>
      </w:pPr>
      <w:r>
        <w:rPr>
          <w:rFonts w:ascii="Segoe UI" w:hAnsi="Segoe UI"/>
          <w:sz w:val="18"/>
        </w:rPr>
        <w:t>Reporte específico para el seguimiento de rechazos de pedidos, también conocidos como ventas perdidas, con el fin de identificar oportunidades de mejora en la cadena de distribución y maximizar la eficiencia comercial. Este reporte cuantifica los rechazos en cajas físicas (CF), una unidad estándar utilizada para facilitar el análisis operativo y logístico.</w:t>
      </w:r>
    </w:p>
    <w:p/>
    <w:p>
      <w:pPr>
        <w:jc w:val="left"/>
      </w:pPr>
      <w:r>
        <w:rPr>
          <w:rFonts w:ascii="Segoe UI" w:hAnsi="Segoe UI"/>
          <w:color w:val="0066CC"/>
          <w:sz w:val="32"/>
        </w:rPr>
        <w:t>Características</w:t>
      </w:r>
    </w:p>
    <w:p>
      <w:pPr>
        <w:jc w:val="left"/>
      </w:pPr>
      <w:r>
        <w:rPr>
          <w:rFonts w:ascii="Segoe UI" w:hAnsi="Segoe UI"/>
          <w:sz w:val="18"/>
        </w:rPr>
        <w:t>Tiempo considerado: Por Mes [4/2025]</w:t>
      </w:r>
    </w:p>
    <w:p>
      <w:pPr>
        <w:jc w:val="left"/>
      </w:pPr>
      <w:r>
        <w:rPr>
          <w:rFonts w:ascii="Segoe UI" w:hAnsi="Segoe UI"/>
          <w:sz w:val="18"/>
        </w:rPr>
        <w:t>Locaciones consideradas: El Pedregal, Atico, Chala, Camana</w:t>
      </w:r>
    </w:p>
    <w:p/>
    <w:p>
      <w:pPr>
        <w:jc w:val="left"/>
      </w:pPr>
      <w:r>
        <w:rPr>
          <w:rFonts w:ascii="Segoe UI" w:hAnsi="Segoe UI"/>
          <w:color w:val="0066CC"/>
          <w:sz w:val="32"/>
        </w:rPr>
        <w:t>Fuente</w:t>
      </w:r>
    </w:p>
    <w:p>
      <w:pPr>
        <w:jc w:val="left"/>
      </w:pPr>
      <w:r>
        <w:rPr>
          <w:rFonts w:ascii="Segoe UI" w:hAnsi="Segoe UI"/>
          <w:sz w:val="18"/>
        </w:rPr>
        <w:t>ARCHIVO: Venta Perdida x Cliente y ruta diaria.xlsx</w:t>
      </w:r>
    </w:p>
    <w:p>
      <w:pPr>
        <w:jc w:val="left"/>
      </w:pPr>
      <w:r>
        <w:rPr>
          <w:rFonts w:ascii="Segoe UI" w:hAnsi="Segoe UI"/>
          <w:sz w:val="18"/>
        </w:rPr>
        <w:t>CORREO: rbernal@aclogistica.pe</w:t>
      </w:r>
    </w:p>
    <w:p>
      <w:r>
        <w:br w:type="page"/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Tiempo Histórico de Rechazos y Venta Perdida (CF) por día del mes 4/2025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las veces rechazadas y ventas perdidas (CF) a travéz del tiempo (por día).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4011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r_vp_ti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1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Venta perdida (CF) por motivo de anulación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la cantidad de venta perdida por motivo de anulación de forma descendente.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63121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p_motivo_anulac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3121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Veces rechazadas por motivo de anulación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la cantidad de veces que hubo rechazo por motivo de anulación, ordenado de forma descendente.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631210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r_motivo_anulac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3121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Venta perdida (CF) y veces rechazadas por motivos de anulación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la venta perdida y la cantidad de veces rechazadas por motivo de anulación, ordenado de forma descendente.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631210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p_vr_motivo_anulac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3121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Venta perdida (CF %) por motivo de anulación en porcentaje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la cantidad de venta perdida en porcentaje por motivo de anulación de forma descendente.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631199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p_porcentual_motivo_anulac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3119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pacing w:after="0"/>
      </w:pPr>
      <w:r>
        <w:rPr>
          <w:rFonts w:ascii="Segoe UI" w:hAnsi="Segoe UI"/>
          <w:b/>
          <w:color w:val="0066CC"/>
          <w:sz w:val="24"/>
        </w:rPr>
        <w:t>Veces rechazadas (%) por motivo de anulación</w:t>
      </w:r>
    </w:p>
    <w:p>
      <w:pPr>
        <w:spacing w:before="0"/>
      </w:pPr>
      <w:r>
        <w:rPr>
          <w:rFonts w:ascii="Segoe UI" w:hAnsi="Segoe UI"/>
          <w:color w:val="000000"/>
          <w:sz w:val="18"/>
        </w:rPr>
        <w:t>Este gráfico muestra el porcentaje de la cantidad de veces que hubo rechazo por motivo de anulación, ordenado de forma descendente.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49240" cy="631199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r_porcentual_motivo_anulac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3119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2808"/>
      <w:gridCol w:w="2808"/>
      <w:gridCol w:w="2808"/>
    </w:tblGrid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b/>
              <w:sz w:val="14"/>
            </w:rPr>
            <w:t>Reporte de Métrica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b/>
              <w:sz w:val="14"/>
            </w:rPr>
            <w:t>Reporte de Categoría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b/>
              <w:sz w:val="14"/>
            </w:rPr>
            <w:t>Términos/Abreviaturas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Venta Perdida CF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Motivo de Anulacion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CF: Cajas físicas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Veces Rechazadas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Transportista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Estructura Fecha: dia/mes/año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Venta Perdida y Veces Rechazadas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Ruta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-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Venta Perdida (Porcentual)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Cliente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-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Veces Rechazadas (Porcentual)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Vendedor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-</w:t>
          </w:r>
        </w:p>
      </w:tc>
    </w:tr>
    <w:tr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-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Por Locacion</w:t>
          </w:r>
        </w:p>
      </w:tc>
      <w:tc>
        <w:tcPr>
          <w:tcW w:type="dxa" w:w="2808"/>
        </w:tcPr>
        <w:p>
          <w:pPr>
            <w:spacing w:before="0" w:after="0"/>
          </w:pPr>
          <w:r/>
          <w:r>
            <w:rPr>
              <w:rFonts w:ascii="Segoe UI" w:hAnsi="Segoe UI"/>
              <w:sz w:val="14"/>
            </w:rPr>
            <w:t>-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6192"/>
      <w:gridCol w:w="2160"/>
    </w:tblGrid>
    <w:tr>
      <w:tc>
        <w:tcPr>
          <w:tcW w:type="dxa" w:w="4212"/>
        </w:tcPr>
        <w:p>
          <w:pPr>
            <w:spacing w:after="0"/>
          </w:pPr>
          <w:r>
            <w:rPr>
              <w:rFonts w:ascii="Courier New" w:hAnsi="Courier New"/>
              <w:sz w:val="18"/>
            </w:rPr>
            <w:t>Gerardo Portocarrero Banda</w:t>
          </w:r>
        </w:p>
      </w:tc>
      <w:tc>
        <w:tcPr>
          <w:tcW w:type="dxa" w:w="4212"/>
        </w:tcPr>
        <w:p>
          <w:pPr>
            <w:spacing w:after="0"/>
            <w:jc w:val="right"/>
          </w:pPr>
          <w:r>
            <w:rPr>
              <w:rFonts w:ascii="Courier New" w:hAnsi="Courier New"/>
              <w:sz w:val="18"/>
            </w:rPr>
            <w:t>2025-05-21 17:38:37</w:t>
          </w:r>
        </w:p>
      </w:tc>
    </w:tr>
    <w:tr>
      <w:tc>
        <w:tcPr>
          <w:tcW w:type="dxa" w:w="4212"/>
        </w:tcPr>
        <w:p>
          <w:pPr>
            <w:spacing w:before="0" w:after="0"/>
          </w:pPr>
          <w:r>
            <w:rPr>
              <w:rFonts w:ascii="Courier New" w:hAnsi="Courier New"/>
              <w:sz w:val="14"/>
            </w:rPr>
            <w:t>Analista de datos AYA</w:t>
          </w:r>
        </w:p>
      </w:tc>
      <w:tc>
        <w:tcPr>
          <w:tcW w:type="dxa" w:w="4212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