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  <w:jc w:val="center"/>
      </w:pPr>
      <w:r>
        <w:rPr>
          <w:rFonts w:ascii="Arial" w:cs="Arial" w:eastAsia="Arial" w:hAnsi="Arial"/>
          <w:b/>
          <w:bCs/>
          <w:color w:val="1F6E43"/>
          <w:sz w:val="28"/>
          <w:szCs w:val="28"/>
        </w:rPr>
        <w:t xml:space="preserve">Universidad Tecmilenio</w:t>
      </w: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Maestría en Ciencia de Datos</w:t>
      </w:r>
    </w:p>
    <w:p>
      <w:pPr>
        <w:spacing w:after="600"/>
        <w:jc w:val="center"/>
      </w:pPr>
      <w:r>
        <w:rPr>
          <w:rFonts w:ascii="Arial" w:cs="Arial" w:eastAsia="Arial" w:hAnsi="Arial"/>
          <w:sz w:val="24"/>
          <w:szCs w:val="24"/>
        </w:rPr>
        <w:t xml:space="preserve">Gestión de proyectos de inteligencia artificial</w:t>
      </w:r>
    </w:p>
    <w:p>
      <w:pPr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Actividad 4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6E43"/>
          <w:sz w:val="30"/>
          <w:szCs w:val="30"/>
        </w:rPr>
        <w:t xml:space="preserve">Análisis comparativo de modelos preentrenados de Hugging Face</w:t>
      </w:r>
    </w:p>
    <w:p>
      <w:pPr>
        <w:spacing w:after="120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Clasificación de sentimiento de reseñas de clientes · Farmacias Occidente Salud</w:t>
      </w:r>
    </w:p>
    <w:p>
      <w:pPr>
        <w:spacing w:after="120" w:line="276"/>
        <w:jc w:val="center"/>
      </w:pPr>
      <w:r>
        <w:rPr>
          <w:rFonts w:ascii="Arial" w:cs="Arial" w:eastAsia="Arial" w:hAnsi="Arial"/>
          <w:b/>
          <w:bCs/>
        </w:rPr>
        <w:t xml:space="preserve">Alumno:</w:t>
      </w:r>
      <w:r>
        <w:rPr>
          <w:rFonts w:ascii="Arial" w:cs="Arial" w:eastAsia="Arial" w:hAnsi="Arial"/>
        </w:rPr>
        <w:t xml:space="preserve"> José Gerardo Ortiz Leñero</w:t>
      </w:r>
    </w:p>
    <w:p>
      <w:pPr>
        <w:spacing w:after="120" w:line="276"/>
        <w:jc w:val="center"/>
      </w:pPr>
      <w:r>
        <w:rPr>
          <w:rFonts w:ascii="Arial" w:cs="Arial" w:eastAsia="Arial" w:hAnsi="Arial"/>
          <w:b/>
          <w:bCs/>
        </w:rPr>
        <w:t xml:space="preserve">Profesora:</w:t>
      </w:r>
      <w:r>
        <w:rPr>
          <w:rFonts w:ascii="Arial" w:cs="Arial" w:eastAsia="Arial" w:hAnsi="Arial"/>
        </w:rPr>
        <w:t xml:space="preserve"> Ing. Tania Judith Mendoza Torres</w:t>
      </w:r>
    </w:p>
    <w:p>
      <w:pPr>
        <w:spacing w:after="120" w:line="276"/>
        <w:jc w:val="center"/>
      </w:pPr>
      <w:r>
        <w:rPr>
          <w:rFonts w:ascii="Arial" w:cs="Arial" w:eastAsia="Arial" w:hAnsi="Arial"/>
        </w:rPr>
        <w:t xml:space="preserve">Octubre de 2026</w:t>
      </w:r>
    </w:p>
    <w:p>
      <w:r>
        <w:br w:type="page"/>
      </w:r>
    </w:p>
    <w:p>
      <w:pPr>
        <w:spacing w:after="200"/>
      </w:pPr>
      <w:r>
        <w:rPr>
          <w:rFonts w:ascii="Arial" w:cs="Arial" w:eastAsia="Arial" w:hAnsi="Arial"/>
          <w:b/>
          <w:bCs/>
          <w:color w:val="1F6E43"/>
          <w:sz w:val="28"/>
          <w:szCs w:val="28"/>
        </w:rPr>
        <w:t xml:space="preserve">Contenido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Descripción del caso de uso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Farmacias Occidente Salud es una cadena regional ficticia de 140 sucursales en el occidente de México. Además del proyecto DEMANDA-IA de pronóstico de demanda, la dirección comercial necesita una señal rápida y continua de la experiencia del cliente: hoy las reseñas de Google Reviews, Facebook y las encuestas internas se leen manualmente, con semanas de retraso, y las quejas por desabasto o malos tratos llegan tarde a los gerentes de zona.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El caso de uso consiste en clasificar automáticamente cada reseña en </w:t>
      </w:r>
      <w:r>
        <w:rPr>
          <w:rFonts w:ascii="Arial" w:cs="Arial" w:eastAsia="Arial" w:hAnsi="Arial"/>
          <w:b/>
          <w:bCs/>
        </w:rPr>
        <w:t xml:space="preserve">negativa (NEG), neutral (NEU) o positiva (POS)</w:t>
      </w:r>
      <w:r>
        <w:rPr>
          <w:rFonts w:ascii="Arial" w:cs="Arial" w:eastAsia="Arial" w:hAnsi="Arial"/>
        </w:rPr>
        <w:t xml:space="preserve"> para alimentar un tablero semanal por sucursal y generar alertas cuando aumentan las negativas. Se ubica en la rama de </w:t>
      </w:r>
      <w:r>
        <w:rPr>
          <w:rFonts w:ascii="Arial" w:cs="Arial" w:eastAsia="Arial" w:hAnsi="Arial"/>
          <w:b/>
          <w:bCs/>
        </w:rPr>
        <w:t xml:space="preserve">procesamiento de lenguaje natural (NLP)</w:t>
      </w:r>
      <w:r>
        <w:rPr>
          <w:rFonts w:ascii="Arial" w:cs="Arial" w:eastAsia="Arial" w:hAnsi="Arial"/>
        </w:rPr>
        <w:t xml:space="preserve">, con la tarea text-classification de Hugging Face, sobre textos cortos en español mexicano.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El objetivo de esta actividad es identificar e implementar el modelo preentrenado más adecuado para este caso, comparando cuatro candidatos en Google Colab con GPU sobre un dataset propio, y justificar la elección con métricas y umbrales de negocio definidos antes de ejecutar.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shd w:fill="1F6E4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676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shd w:fill="1F6E4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Definición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Usuario del modelo</w:t>
            </w:r>
          </w:p>
        </w:tc>
        <w:tc>
          <w:tcPr>
            <w:tcW w:type="dxa" w:w="676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Área de Experiencia del Cliente y gerentes de zona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shd w:fill="F2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Entrada</w:t>
            </w:r>
          </w:p>
        </w:tc>
        <w:tc>
          <w:tcPr>
            <w:tcW w:type="dxa" w:w="676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shd w:fill="F2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Texto libre de la reseña (1 a 3 oraciones, español)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Salida</w:t>
            </w:r>
          </w:p>
        </w:tc>
        <w:tc>
          <w:tcPr>
            <w:tcW w:type="dxa" w:w="676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Etiqueta NEG / NEU / POS y su puntaje de confianza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shd w:fill="F2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Frecuencia</w:t>
            </w:r>
          </w:p>
        </w:tc>
        <w:tc>
          <w:tcPr>
            <w:tcW w:type="dxa" w:w="676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shd w:fill="F2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Lote nocturno (≈ 2,000 reseñas/semana) y consulta puntual desde el tablero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 más costoso</w:t>
            </w:r>
          </w:p>
        </w:tc>
        <w:tc>
          <w:tcPr>
            <w:tcW w:type="dxa" w:w="676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Clasificar una queja como positiva o neutral (falso negativo en NEG)</w:t>
            </w:r>
          </w:p>
        </w:tc>
      </w:tr>
    </w:tbl>
    <w:p>
      <w:pPr>
        <w:spacing w:after="200" w:before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Tabla 1. Definición operativa del caso de uso.</w:t>
      </w:r>
    </w:p>
    <w:p>
      <w:pPr>
        <w:pStyle w:val="Heading1"/>
      </w:pPr>
      <w:r>
        <w:rPr>
          <w:rFonts w:ascii="Arial" w:cs="Arial" w:eastAsia="Arial" w:hAnsi="Arial"/>
        </w:rPr>
        <w:t xml:space="preserve">2. Ecosistema Hugging Face utilizado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El proyecto usa los tres componentes del ecosistema descritos en el Tema 9, cada uno con un papel concreto dentro del flujo de prototipado: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shd w:fill="1F6E4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360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shd w:fill="1F6E4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Función general</w:t>
            </w:r>
          </w:p>
        </w:tc>
        <w:tc>
          <w:tcPr>
            <w:tcW w:type="dxa" w:w="396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shd w:fill="1F6E4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Uso en este proyecto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Models</w:t>
            </w:r>
          </w:p>
        </w:tc>
        <w:tc>
          <w:tcPr>
            <w:tcW w:type="dxa" w:w="360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Repositorio de modelos preentrenados con model cards, licencias y métricas</w:t>
            </w:r>
          </w:p>
        </w:tc>
        <w:tc>
          <w:tcPr>
            <w:tcW w:type="dxa" w:w="396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Búsqueda filtrada por tarea text-classification e idioma español; descarga de los 4 candidatos; consulta automática de licencia y tamaño con huggingface_hub.HfApi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shd w:fill="F2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Datasets</w:t>
            </w:r>
          </w:p>
        </w:tc>
        <w:tc>
          <w:tcPr>
            <w:tcW w:type="dxa" w:w="360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shd w:fill="F2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Biblioteca para cargar, transformar y publicar conjuntos de datos</w:t>
            </w:r>
          </w:p>
        </w:tc>
        <w:tc>
          <w:tcPr>
            <w:tcW w:type="dxa" w:w="396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shd w:fill="F2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Conversión del CSV propio a datasets.Dataset; tokenización con map() en el fine-tuning opcional; publicación privada opcional con push_to_hub()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Spaces</w:t>
            </w:r>
          </w:p>
        </w:tc>
        <w:tc>
          <w:tcPr>
            <w:tcW w:type="dxa" w:w="360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Despliegue de demos interactivas (Gradio/Streamlit)</w:t>
            </w:r>
          </w:p>
        </w:tc>
        <w:tc>
          <w:tcPr>
            <w:tcW w:type="dxa" w:w="396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src/app_gradio.py deja lista una demo del modelo recomendado para que el área usuaria lo pruebe sin código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shd w:fill="F2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Bibliotecas</w:t>
            </w:r>
          </w:p>
        </w:tc>
        <w:tc>
          <w:tcPr>
            <w:tcW w:type="dxa" w:w="360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shd w:fill="F2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transformers, evaluate, accelerate</w:t>
            </w:r>
          </w:p>
        </w:tc>
        <w:tc>
          <w:tcPr>
            <w:tcW w:type="dxa" w:w="396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shd w:fill="F2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pipeline() para inferencia en GPU (device=0); evaluate para accuracy, precision, recall y F1</w:t>
            </w:r>
          </w:p>
        </w:tc>
      </w:tr>
    </w:tbl>
    <w:p>
      <w:pPr>
        <w:spacing w:after="200" w:before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Tabla 2. Componentes del ecosistema Hugging Face en el proyecto.</w:t>
      </w:r>
    </w:p>
    <w:p>
      <w:pPr>
        <w:pStyle w:val="Heading1"/>
      </w:pPr>
      <w:r>
        <w:rPr>
          <w:rFonts w:ascii="Arial" w:cs="Arial" w:eastAsia="Arial" w:hAnsi="Arial"/>
        </w:rPr>
        <w:t xml:space="preserve">3. Criterios de selección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Siguiendo la recomendación del Tema 9 de no elegir por popularidad ni solo por benchmarks, se definieron criterios técnicos y prácticos antes de buscar modelos. Los criterios eliminatorios filtran el universo del Hub; los comparativos ordenan a los finalistas.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300"/>
        <w:gridCol w:w="3260"/>
        <w:gridCol w:w="2500"/>
      </w:tblGrid>
      <w:tr>
        <w:trPr>
          <w:tblHeader/>
        </w:trPr>
        <w:tc>
          <w:tcPr>
            <w:tcW w:type="dxa" w:w="230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shd w:fill="1F6E4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</w:t>
            </w:r>
          </w:p>
        </w:tc>
        <w:tc>
          <w:tcPr>
            <w:tcW w:type="dxa" w:w="130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shd w:fill="1F6E4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326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shd w:fill="1F6E4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Cómo se mide</w:t>
            </w:r>
          </w:p>
        </w:tc>
        <w:tc>
          <w:tcPr>
            <w:tcW w:type="dxa" w:w="250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shd w:fill="1F6E4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Regla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Tarea compatible</w:t>
            </w:r>
          </w:p>
        </w:tc>
        <w:tc>
          <w:tcPr>
            <w:tcW w:type="dxa" w:w="130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Técnico</w:t>
            </w:r>
          </w:p>
        </w:tc>
        <w:tc>
          <w:tcPr>
            <w:tcW w:type="dxa" w:w="326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pipeline_tag = text-classification, salida de sentimiento</w:t>
            </w:r>
          </w:p>
        </w:tc>
        <w:tc>
          <w:tcPr>
            <w:tcW w:type="dxa" w:w="250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Eliminatorio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shd w:fill="F2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Idioma español</w:t>
            </w:r>
          </w:p>
        </w:tc>
        <w:tc>
          <w:tcPr>
            <w:tcW w:type="dxa" w:w="130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shd w:fill="F2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Técnico</w:t>
            </w:r>
          </w:p>
        </w:tc>
        <w:tc>
          <w:tcPr>
            <w:tcW w:type="dxa" w:w="326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shd w:fill="F2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Entrenado en español o multilingüe con español</w:t>
            </w:r>
          </w:p>
        </w:tc>
        <w:tc>
          <w:tcPr>
            <w:tcW w:type="dxa" w:w="250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shd w:fill="F2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Eliminatorio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Clase neutral</w:t>
            </w:r>
          </w:p>
        </w:tc>
        <w:tc>
          <w:tcPr>
            <w:tcW w:type="dxa" w:w="130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Técnico</w:t>
            </w:r>
          </w:p>
        </w:tc>
        <w:tc>
          <w:tcPr>
            <w:tcW w:type="dxa" w:w="326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Salida de 3 clases o escala convertible (estrellas)</w:t>
            </w:r>
          </w:p>
        </w:tc>
        <w:tc>
          <w:tcPr>
            <w:tcW w:type="dxa" w:w="250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Eliminatorio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shd w:fill="F2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Calidad</w:t>
            </w:r>
          </w:p>
        </w:tc>
        <w:tc>
          <w:tcPr>
            <w:tcW w:type="dxa" w:w="130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shd w:fill="F2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Técnico</w:t>
            </w:r>
          </w:p>
        </w:tc>
        <w:tc>
          <w:tcPr>
            <w:tcW w:type="dxa" w:w="326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shd w:fill="F2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Accuracy, F1-macro y recall NEG sobre el dataset propio</w:t>
            </w:r>
          </w:p>
        </w:tc>
        <w:tc>
          <w:tcPr>
            <w:tcW w:type="dxa" w:w="250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shd w:fill="F2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Comparativo (principal)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Latencia</w:t>
            </w:r>
          </w:p>
        </w:tc>
        <w:tc>
          <w:tcPr>
            <w:tcW w:type="dxa" w:w="130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Técnico</w:t>
            </w:r>
          </w:p>
        </w:tc>
        <w:tc>
          <w:tcPr>
            <w:tcW w:type="dxa" w:w="326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ms por reseña p50/p95 individual y en lote, GPU T4</w:t>
            </w:r>
          </w:p>
        </w:tc>
        <w:tc>
          <w:tcPr>
            <w:tcW w:type="dxa" w:w="250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Comparativo (desempate)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shd w:fill="F2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Recursos y costo</w:t>
            </w:r>
          </w:p>
        </w:tc>
        <w:tc>
          <w:tcPr>
            <w:tcW w:type="dxa" w:w="130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shd w:fill="F2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Práctico</w:t>
            </w:r>
          </w:p>
        </w:tc>
        <w:tc>
          <w:tcPr>
            <w:tcW w:type="dxa" w:w="326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shd w:fill="F2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Parámetros, tamaño en disco, VRAM pico</w:t>
            </w:r>
          </w:p>
        </w:tc>
        <w:tc>
          <w:tcPr>
            <w:tcW w:type="dxa" w:w="250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shd w:fill="F2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Comparativo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Licencia</w:t>
            </w:r>
          </w:p>
        </w:tc>
        <w:tc>
          <w:tcPr>
            <w:tcW w:type="dxa" w:w="130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Práctico</w:t>
            </w:r>
          </w:p>
        </w:tc>
        <w:tc>
          <w:tcPr>
            <w:tcW w:type="dxa" w:w="326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Licencia declarada en la model card</w:t>
            </w:r>
          </w:p>
        </w:tc>
        <w:tc>
          <w:tcPr>
            <w:tcW w:type="dxa" w:w="250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Revisión legal antes de producción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shd w:fill="F2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Madurez y soporte</w:t>
            </w:r>
          </w:p>
        </w:tc>
        <w:tc>
          <w:tcPr>
            <w:tcW w:type="dxa" w:w="130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shd w:fill="F2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Práctico</w:t>
            </w:r>
          </w:p>
        </w:tc>
        <w:tc>
          <w:tcPr>
            <w:tcW w:type="dxa" w:w="326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shd w:fill="F2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Descargas, documentación, autor reconocido</w:t>
            </w:r>
          </w:p>
        </w:tc>
        <w:tc>
          <w:tcPr>
            <w:tcW w:type="dxa" w:w="250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shd w:fill="F2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Desempate cualitativo</w:t>
            </w:r>
          </w:p>
        </w:tc>
      </w:tr>
    </w:tbl>
    <w:p>
      <w:pPr>
        <w:spacing w:after="200" w:before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Tabla 3. Criterios técnicos y prácticos de selección.</w:t>
      </w:r>
    </w:p>
    <w:p>
      <w:pPr>
        <w:pStyle w:val="Heading2"/>
      </w:pPr>
      <w:r>
        <w:rPr>
          <w:rFonts w:ascii="Arial" w:cs="Arial" w:eastAsia="Arial" w:hAnsi="Arial"/>
        </w:rPr>
        <w:t xml:space="preserve">3.1 Modelos preseleccionados y descartados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Con los criterios eliminatorios se preseleccionaron cuatro modelos que representan estrategias distintas: un modelo nativo en español (M1), uno multilingüe grande especializado en redes sociales (M2), uno multilingüe entrenado con reseñas de productos en escala de estrellas (M3) y uno destilado orientado a eficiencia (M4). Este diseño replica la comparación BERT / DistilBERT / RoBERTa del Tema 9, pero con un dataset propio del caso.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Se descartaron los modelos entrenados solo en inglés (por ejemplo, variantes SST-2), los binarios sin clase neutral y los LLM generativos de varios miles de millones de parámetros: estos últimos podrían clasificar sentimiento, pero su latencia y costo de VRAM son desproporcionados para una tarea de tres clases que se ejecuta en lote cada noche.</w:t>
      </w:r>
    </w:p>
    <w:p>
      <w:pPr>
        <w:pStyle w:val="Heading1"/>
      </w:pPr>
      <w:r>
        <w:rPr>
          <w:rFonts w:ascii="Arial" w:cs="Arial" w:eastAsia="Arial" w:hAnsi="Arial"/>
        </w:rPr>
        <w:t xml:space="preserve">4. Tabla comparativa de modelos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Los valores resaltados se obtienen al ejecutar el notebook (GPU </w:t>
      </w:r>
      <w:r>
        <w:rPr>
          <w:rFonts w:ascii="Arial" w:cs="Arial" w:eastAsia="Arial" w:hAnsi="Arial"/>
          <w:highlight w:val="yellow"/>
          <w:highlightCs w:val="yellow"/>
        </w:rPr>
        <w:t xml:space="preserve">«GPU»</w:t>
      </w:r>
      <w:r>
        <w:rPr>
          <w:rFonts w:ascii="Arial" w:cs="Arial" w:eastAsia="Arial" w:hAnsi="Arial"/>
        </w:rPr>
        <w:t xml:space="preserve">, transformers </w:t>
      </w:r>
      <w:r>
        <w:rPr>
          <w:rFonts w:ascii="Arial" w:cs="Arial" w:eastAsia="Arial" w:hAnsi="Arial"/>
          <w:highlight w:val="yellow"/>
          <w:highlightCs w:val="yellow"/>
        </w:rPr>
        <w:t xml:space="preserve">«TRANSFORMERS»</w:t>
      </w:r>
      <w:r>
        <w:rPr>
          <w:rFonts w:ascii="Arial" w:cs="Arial" w:eastAsia="Arial" w:hAnsi="Arial"/>
        </w:rPr>
        <w:t xml:space="preserve">, </w:t>
      </w:r>
      <w:r>
        <w:rPr>
          <w:rFonts w:ascii="Arial" w:cs="Arial" w:eastAsia="Arial" w:hAnsi="Arial"/>
          <w:highlight w:val="yellow"/>
          <w:highlightCs w:val="yellow"/>
        </w:rPr>
        <w:t xml:space="preserve">«N_RESENAS»</w:t>
      </w:r>
      <w:r>
        <w:rPr>
          <w:rFonts w:ascii="Arial" w:cs="Arial" w:eastAsia="Arial" w:hAnsi="Arial"/>
        </w:rPr>
        <w:t xml:space="preserve"> reseñas, ejecución del </w:t>
      </w:r>
      <w:r>
        <w:rPr>
          <w:rFonts w:ascii="Arial" w:cs="Arial" w:eastAsia="Arial" w:hAnsi="Arial"/>
          <w:highlight w:val="yellow"/>
          <w:highlightCs w:val="yellow"/>
        </w:rPr>
        <w:t xml:space="preserve">«FECHA»</w:t>
      </w:r>
      <w:r>
        <w:rPr>
          <w:rFonts w:ascii="Arial" w:cs="Arial" w:eastAsia="Arial" w:hAnsi="Arial"/>
        </w:rPr>
        <w:t xml:space="preserve">). La licencia se consulta directamente en el Hub.</w:t>
      </w:r>
    </w:p>
    <w:p>
      <w:pPr>
        <w:pStyle w:val="Heading2"/>
      </w:pPr>
      <w:r>
        <w:rPr>
          <w:rFonts w:ascii="Arial" w:cs="Arial" w:eastAsia="Arial" w:hAnsi="Arial"/>
        </w:rPr>
        <w:t xml:space="preserve">4.1 Características y recursos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60"/>
        <w:gridCol w:w="1200"/>
        <w:gridCol w:w="1100"/>
        <w:gridCol w:w="1000"/>
        <w:gridCol w:w="900"/>
        <w:gridCol w:w="1100"/>
      </w:tblGrid>
      <w:tr>
        <w:trPr>
          <w:tblHeader/>
        </w:trPr>
        <w:tc>
          <w:tcPr>
            <w:tcW w:type="dxa" w:w="150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shd w:fill="1F6E4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Modelo</w:t>
            </w:r>
          </w:p>
        </w:tc>
        <w:tc>
          <w:tcPr>
            <w:tcW w:type="dxa" w:w="256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shd w:fill="1F6E4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Repositorio / arquitectura</w:t>
            </w:r>
          </w:p>
        </w:tc>
        <w:tc>
          <w:tcPr>
            <w:tcW w:type="dxa" w:w="120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shd w:fill="1F6E4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Salida</w:t>
            </w:r>
          </w:p>
        </w:tc>
        <w:tc>
          <w:tcPr>
            <w:tcW w:type="dxa" w:w="110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shd w:fill="1F6E4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Parámetros (M)</w:t>
            </w:r>
          </w:p>
        </w:tc>
        <w:tc>
          <w:tcPr>
            <w:tcW w:type="dxa" w:w="100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shd w:fill="1F6E4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Disco (MB)</w:t>
            </w:r>
          </w:p>
        </w:tc>
        <w:tc>
          <w:tcPr>
            <w:tcW w:type="dxa" w:w="90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shd w:fill="1F6E4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VRAM pico (MB)</w:t>
            </w:r>
          </w:p>
        </w:tc>
        <w:tc>
          <w:tcPr>
            <w:tcW w:type="dxa" w:w="110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shd w:fill="1F6E4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Licencia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M1 · RoBERTuito</w:t>
            </w:r>
          </w:p>
        </w:tc>
        <w:tc>
          <w:tcPr>
            <w:tcW w:type="dxa" w:w="256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pysentimiento/robertuito-sentiment-analysis</w:t>
            </w:r>
          </w:p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RoBERTa · español (redes sociales)</w:t>
            </w:r>
          </w:p>
        </w:tc>
        <w:tc>
          <w:tcPr>
            <w:tcW w:type="dxa" w:w="120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POS / NEU / NEG</w:t>
            </w:r>
          </w:p>
        </w:tc>
        <w:tc>
          <w:tcPr>
            <w:tcW w:type="dxa" w:w="110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  <w:highlight w:val="yellow"/>
                <w:highlightCs w:val="yellow"/>
              </w:rPr>
              <w:t xml:space="preserve">«PARAMS_M1»</w:t>
            </w:r>
          </w:p>
        </w:tc>
        <w:tc>
          <w:tcPr>
            <w:tcW w:type="dxa" w:w="100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  <w:highlight w:val="yellow"/>
                <w:highlightCs w:val="yellow"/>
              </w:rPr>
              <w:t xml:space="preserve">«DISCO_M1»</w:t>
            </w:r>
          </w:p>
        </w:tc>
        <w:tc>
          <w:tcPr>
            <w:tcW w:type="dxa" w:w="90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  <w:highlight w:val="yellow"/>
                <w:highlightCs w:val="yellow"/>
              </w:rPr>
              <w:t xml:space="preserve">«VRAM_M1»</w:t>
            </w:r>
          </w:p>
        </w:tc>
        <w:tc>
          <w:tcPr>
            <w:tcW w:type="dxa" w:w="110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  <w:highlight w:val="yellow"/>
                <w:highlightCs w:val="yellow"/>
              </w:rPr>
              <w:t xml:space="preserve">«LIC_M1»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shd w:fill="F2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M2 · XLM-R Twitter</w:t>
            </w:r>
          </w:p>
        </w:tc>
        <w:tc>
          <w:tcPr>
            <w:tcW w:type="dxa" w:w="256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shd w:fill="F2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cardiffnlp/twitter-xlm-roberta-base-sentiment</w:t>
            </w:r>
          </w:p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XLM-RoBERTa base · multilingüe</w:t>
            </w:r>
          </w:p>
        </w:tc>
        <w:tc>
          <w:tcPr>
            <w:tcW w:type="dxa" w:w="120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shd w:fill="F2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positive / neutral / negative</w:t>
            </w:r>
          </w:p>
        </w:tc>
        <w:tc>
          <w:tcPr>
            <w:tcW w:type="dxa" w:w="110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shd w:fill="F2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  <w:highlight w:val="yellow"/>
                <w:highlightCs w:val="yellow"/>
              </w:rPr>
              <w:t xml:space="preserve">«PARAMS_M2»</w:t>
            </w:r>
          </w:p>
        </w:tc>
        <w:tc>
          <w:tcPr>
            <w:tcW w:type="dxa" w:w="100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shd w:fill="F2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  <w:highlight w:val="yellow"/>
                <w:highlightCs w:val="yellow"/>
              </w:rPr>
              <w:t xml:space="preserve">«DISCO_M2»</w:t>
            </w:r>
          </w:p>
        </w:tc>
        <w:tc>
          <w:tcPr>
            <w:tcW w:type="dxa" w:w="90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shd w:fill="F2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  <w:highlight w:val="yellow"/>
                <w:highlightCs w:val="yellow"/>
              </w:rPr>
              <w:t xml:space="preserve">«VRAM_M2»</w:t>
            </w:r>
          </w:p>
        </w:tc>
        <w:tc>
          <w:tcPr>
            <w:tcW w:type="dxa" w:w="110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shd w:fill="F2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  <w:highlight w:val="yellow"/>
                <w:highlightCs w:val="yellow"/>
              </w:rPr>
              <w:t xml:space="preserve">«LIC_M2»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M3 · BERT mult. 5★</w:t>
            </w:r>
          </w:p>
        </w:tc>
        <w:tc>
          <w:tcPr>
            <w:tcW w:type="dxa" w:w="256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nlptown/bert-base-multilingual-uncased-sentiment</w:t>
            </w:r>
          </w:p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BERT base · multilingüe</w:t>
            </w:r>
          </w:p>
        </w:tc>
        <w:tc>
          <w:tcPr>
            <w:tcW w:type="dxa" w:w="120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1–5 estrellas</w:t>
            </w:r>
          </w:p>
        </w:tc>
        <w:tc>
          <w:tcPr>
            <w:tcW w:type="dxa" w:w="110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  <w:highlight w:val="yellow"/>
                <w:highlightCs w:val="yellow"/>
              </w:rPr>
              <w:t xml:space="preserve">«PARAMS_M3»</w:t>
            </w:r>
          </w:p>
        </w:tc>
        <w:tc>
          <w:tcPr>
            <w:tcW w:type="dxa" w:w="100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  <w:highlight w:val="yellow"/>
                <w:highlightCs w:val="yellow"/>
              </w:rPr>
              <w:t xml:space="preserve">«DISCO_M3»</w:t>
            </w:r>
          </w:p>
        </w:tc>
        <w:tc>
          <w:tcPr>
            <w:tcW w:type="dxa" w:w="90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  <w:highlight w:val="yellow"/>
                <w:highlightCs w:val="yellow"/>
              </w:rPr>
              <w:t xml:space="preserve">«VRAM_M3»</w:t>
            </w:r>
          </w:p>
        </w:tc>
        <w:tc>
          <w:tcPr>
            <w:tcW w:type="dxa" w:w="110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  <w:highlight w:val="yellow"/>
                <w:highlightCs w:val="yellow"/>
              </w:rPr>
              <w:t xml:space="preserve">«LIC_M3»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shd w:fill="F2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M4 · DistilBERT mult.</w:t>
            </w:r>
          </w:p>
        </w:tc>
        <w:tc>
          <w:tcPr>
            <w:tcW w:type="dxa" w:w="256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shd w:fill="F2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lxyuan/distilbert-base-multilingual-cased-sentiments-student</w:t>
            </w:r>
          </w:p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DistilBERT · multilingüe</w:t>
            </w:r>
          </w:p>
        </w:tc>
        <w:tc>
          <w:tcPr>
            <w:tcW w:type="dxa" w:w="120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shd w:fill="F2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positive / neutral / negative</w:t>
            </w:r>
          </w:p>
        </w:tc>
        <w:tc>
          <w:tcPr>
            <w:tcW w:type="dxa" w:w="110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shd w:fill="F2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  <w:highlight w:val="yellow"/>
                <w:highlightCs w:val="yellow"/>
              </w:rPr>
              <w:t xml:space="preserve">«PARAMS_M4»</w:t>
            </w:r>
          </w:p>
        </w:tc>
        <w:tc>
          <w:tcPr>
            <w:tcW w:type="dxa" w:w="100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shd w:fill="F2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  <w:highlight w:val="yellow"/>
                <w:highlightCs w:val="yellow"/>
              </w:rPr>
              <w:t xml:space="preserve">«DISCO_M4»</w:t>
            </w:r>
          </w:p>
        </w:tc>
        <w:tc>
          <w:tcPr>
            <w:tcW w:type="dxa" w:w="90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shd w:fill="F2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  <w:highlight w:val="yellow"/>
                <w:highlightCs w:val="yellow"/>
              </w:rPr>
              <w:t xml:space="preserve">«VRAM_M4»</w:t>
            </w:r>
          </w:p>
        </w:tc>
        <w:tc>
          <w:tcPr>
            <w:tcW w:type="dxa" w:w="110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shd w:fill="F2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  <w:highlight w:val="yellow"/>
                <w:highlightCs w:val="yellow"/>
              </w:rPr>
              <w:t xml:space="preserve">«LIC_M4»</w:t>
            </w:r>
          </w:p>
        </w:tc>
      </w:tr>
    </w:tbl>
    <w:p>
      <w:pPr>
        <w:spacing w:after="200" w:before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Tabla 4. Tarea, tamaño, licencia y recursos (text-classification en los cuatro casos; costo de cómputo: GPU T4 gratuita de Colab).</w:t>
      </w:r>
    </w:p>
    <w:p>
      <w:pPr>
        <w:pStyle w:val="Heading2"/>
      </w:pPr>
      <w:r>
        <w:rPr>
          <w:rFonts w:ascii="Arial" w:cs="Arial" w:eastAsia="Arial" w:hAnsi="Arial"/>
        </w:rPr>
        <w:t xml:space="preserve">4.2 Precisión y latencia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60"/>
        <w:gridCol w:w="860"/>
        <w:gridCol w:w="860"/>
        <w:gridCol w:w="860"/>
        <w:gridCol w:w="900"/>
        <w:gridCol w:w="900"/>
        <w:gridCol w:w="860"/>
        <w:gridCol w:w="860"/>
        <w:gridCol w:w="800"/>
      </w:tblGrid>
      <w:tr>
        <w:trPr>
          <w:tblHeader/>
        </w:trPr>
        <w:tc>
          <w:tcPr>
            <w:tcW w:type="dxa" w:w="160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shd w:fill="1F6E4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Modelo</w:t>
            </w:r>
          </w:p>
        </w:tc>
        <w:tc>
          <w:tcPr>
            <w:tcW w:type="dxa" w:w="86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shd w:fill="1F6E4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Accuracy</w:t>
            </w:r>
          </w:p>
        </w:tc>
        <w:tc>
          <w:tcPr>
            <w:tcW w:type="dxa" w:w="86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shd w:fill="1F6E4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Precision macro</w:t>
            </w:r>
          </w:p>
        </w:tc>
        <w:tc>
          <w:tcPr>
            <w:tcW w:type="dxa" w:w="86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shd w:fill="1F6E4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Recall macro</w:t>
            </w:r>
          </w:p>
        </w:tc>
        <w:tc>
          <w:tcPr>
            <w:tcW w:type="dxa" w:w="86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shd w:fill="1F6E4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F1 macro</w:t>
            </w:r>
          </w:p>
        </w:tc>
        <w:tc>
          <w:tcPr>
            <w:tcW w:type="dxa" w:w="90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shd w:fill="1F6E4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Recall NEG</w:t>
            </w:r>
          </w:p>
        </w:tc>
        <w:tc>
          <w:tcPr>
            <w:tcW w:type="dxa" w:w="90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shd w:fill="1F6E4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Recall NEU</w:t>
            </w:r>
          </w:p>
        </w:tc>
        <w:tc>
          <w:tcPr>
            <w:tcW w:type="dxa" w:w="86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shd w:fill="1F6E4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p50 (ms)</w:t>
            </w:r>
          </w:p>
        </w:tc>
        <w:tc>
          <w:tcPr>
            <w:tcW w:type="dxa" w:w="86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shd w:fill="1F6E4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p95 (ms)</w:t>
            </w:r>
          </w:p>
        </w:tc>
        <w:tc>
          <w:tcPr>
            <w:tcW w:type="dxa" w:w="80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shd w:fill="1F6E4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Cumple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M1 · RoBERTuito</w:t>
            </w:r>
          </w:p>
        </w:tc>
        <w:tc>
          <w:tcPr>
            <w:tcW w:type="dxa" w:w="86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  <w:highlight w:val="yellow"/>
                <w:highlightCs w:val="yellow"/>
              </w:rPr>
              <w:t xml:space="preserve">«ACC_M1»</w:t>
            </w:r>
          </w:p>
        </w:tc>
        <w:tc>
          <w:tcPr>
            <w:tcW w:type="dxa" w:w="86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  <w:highlight w:val="yellow"/>
                <w:highlightCs w:val="yellow"/>
              </w:rPr>
              <w:t xml:space="preserve">«PREC_M1»</w:t>
            </w:r>
          </w:p>
        </w:tc>
        <w:tc>
          <w:tcPr>
            <w:tcW w:type="dxa" w:w="86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  <w:highlight w:val="yellow"/>
                <w:highlightCs w:val="yellow"/>
              </w:rPr>
              <w:t xml:space="preserve">«REC_M1»</w:t>
            </w:r>
          </w:p>
        </w:tc>
        <w:tc>
          <w:tcPr>
            <w:tcW w:type="dxa" w:w="86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  <w:highlight w:val="yellow"/>
                <w:highlightCs w:val="yellow"/>
              </w:rPr>
              <w:t xml:space="preserve">«F1_M1»</w:t>
            </w:r>
          </w:p>
        </w:tc>
        <w:tc>
          <w:tcPr>
            <w:tcW w:type="dxa" w:w="90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  <w:highlight w:val="yellow"/>
                <w:highlightCs w:val="yellow"/>
              </w:rPr>
              <w:t xml:space="preserve">«RNEG_M1»</w:t>
            </w:r>
          </w:p>
        </w:tc>
        <w:tc>
          <w:tcPr>
            <w:tcW w:type="dxa" w:w="90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  <w:highlight w:val="yellow"/>
                <w:highlightCs w:val="yellow"/>
              </w:rPr>
              <w:t xml:space="preserve">«RNEU_M1»</w:t>
            </w:r>
          </w:p>
        </w:tc>
        <w:tc>
          <w:tcPr>
            <w:tcW w:type="dxa" w:w="86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  <w:highlight w:val="yellow"/>
                <w:highlightCs w:val="yellow"/>
              </w:rPr>
              <w:t xml:space="preserve">«P50_M1»</w:t>
            </w:r>
          </w:p>
        </w:tc>
        <w:tc>
          <w:tcPr>
            <w:tcW w:type="dxa" w:w="86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  <w:highlight w:val="yellow"/>
                <w:highlightCs w:val="yellow"/>
              </w:rPr>
              <w:t xml:space="preserve">«P95_M1»</w:t>
            </w:r>
          </w:p>
        </w:tc>
        <w:tc>
          <w:tcPr>
            <w:tcW w:type="dxa" w:w="80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  <w:highlight w:val="yellow"/>
                <w:highlightCs w:val="yellow"/>
              </w:rPr>
              <w:t xml:space="preserve">«CUMPLE_M1»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shd w:fill="F2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M2 · XLM-R Twitter</w:t>
            </w:r>
          </w:p>
        </w:tc>
        <w:tc>
          <w:tcPr>
            <w:tcW w:type="dxa" w:w="86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shd w:fill="F2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  <w:highlight w:val="yellow"/>
                <w:highlightCs w:val="yellow"/>
              </w:rPr>
              <w:t xml:space="preserve">«ACC_M2»</w:t>
            </w:r>
          </w:p>
        </w:tc>
        <w:tc>
          <w:tcPr>
            <w:tcW w:type="dxa" w:w="86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shd w:fill="F2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  <w:highlight w:val="yellow"/>
                <w:highlightCs w:val="yellow"/>
              </w:rPr>
              <w:t xml:space="preserve">«PREC_M2»</w:t>
            </w:r>
          </w:p>
        </w:tc>
        <w:tc>
          <w:tcPr>
            <w:tcW w:type="dxa" w:w="86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shd w:fill="F2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  <w:highlight w:val="yellow"/>
                <w:highlightCs w:val="yellow"/>
              </w:rPr>
              <w:t xml:space="preserve">«REC_M2»</w:t>
            </w:r>
          </w:p>
        </w:tc>
        <w:tc>
          <w:tcPr>
            <w:tcW w:type="dxa" w:w="86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shd w:fill="F2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  <w:highlight w:val="yellow"/>
                <w:highlightCs w:val="yellow"/>
              </w:rPr>
              <w:t xml:space="preserve">«F1_M2»</w:t>
            </w:r>
          </w:p>
        </w:tc>
        <w:tc>
          <w:tcPr>
            <w:tcW w:type="dxa" w:w="90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shd w:fill="F2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  <w:highlight w:val="yellow"/>
                <w:highlightCs w:val="yellow"/>
              </w:rPr>
              <w:t xml:space="preserve">«RNEG_M2»</w:t>
            </w:r>
          </w:p>
        </w:tc>
        <w:tc>
          <w:tcPr>
            <w:tcW w:type="dxa" w:w="90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shd w:fill="F2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  <w:highlight w:val="yellow"/>
                <w:highlightCs w:val="yellow"/>
              </w:rPr>
              <w:t xml:space="preserve">«RNEU_M2»</w:t>
            </w:r>
          </w:p>
        </w:tc>
        <w:tc>
          <w:tcPr>
            <w:tcW w:type="dxa" w:w="86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shd w:fill="F2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  <w:highlight w:val="yellow"/>
                <w:highlightCs w:val="yellow"/>
              </w:rPr>
              <w:t xml:space="preserve">«P50_M2»</w:t>
            </w:r>
          </w:p>
        </w:tc>
        <w:tc>
          <w:tcPr>
            <w:tcW w:type="dxa" w:w="86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shd w:fill="F2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  <w:highlight w:val="yellow"/>
                <w:highlightCs w:val="yellow"/>
              </w:rPr>
              <w:t xml:space="preserve">«P95_M2»</w:t>
            </w:r>
          </w:p>
        </w:tc>
        <w:tc>
          <w:tcPr>
            <w:tcW w:type="dxa" w:w="80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shd w:fill="F2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  <w:highlight w:val="yellow"/>
                <w:highlightCs w:val="yellow"/>
              </w:rPr>
              <w:t xml:space="preserve">«CUMPLE_M2»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M3 · BERT mult. 5★</w:t>
            </w:r>
          </w:p>
        </w:tc>
        <w:tc>
          <w:tcPr>
            <w:tcW w:type="dxa" w:w="86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  <w:highlight w:val="yellow"/>
                <w:highlightCs w:val="yellow"/>
              </w:rPr>
              <w:t xml:space="preserve">«ACC_M3»</w:t>
            </w:r>
          </w:p>
        </w:tc>
        <w:tc>
          <w:tcPr>
            <w:tcW w:type="dxa" w:w="86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  <w:highlight w:val="yellow"/>
                <w:highlightCs w:val="yellow"/>
              </w:rPr>
              <w:t xml:space="preserve">«PREC_M3»</w:t>
            </w:r>
          </w:p>
        </w:tc>
        <w:tc>
          <w:tcPr>
            <w:tcW w:type="dxa" w:w="86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  <w:highlight w:val="yellow"/>
                <w:highlightCs w:val="yellow"/>
              </w:rPr>
              <w:t xml:space="preserve">«REC_M3»</w:t>
            </w:r>
          </w:p>
        </w:tc>
        <w:tc>
          <w:tcPr>
            <w:tcW w:type="dxa" w:w="86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  <w:highlight w:val="yellow"/>
                <w:highlightCs w:val="yellow"/>
              </w:rPr>
              <w:t xml:space="preserve">«F1_M3»</w:t>
            </w:r>
          </w:p>
        </w:tc>
        <w:tc>
          <w:tcPr>
            <w:tcW w:type="dxa" w:w="90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  <w:highlight w:val="yellow"/>
                <w:highlightCs w:val="yellow"/>
              </w:rPr>
              <w:t xml:space="preserve">«RNEG_M3»</w:t>
            </w:r>
          </w:p>
        </w:tc>
        <w:tc>
          <w:tcPr>
            <w:tcW w:type="dxa" w:w="90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  <w:highlight w:val="yellow"/>
                <w:highlightCs w:val="yellow"/>
              </w:rPr>
              <w:t xml:space="preserve">«RNEU_M3»</w:t>
            </w:r>
          </w:p>
        </w:tc>
        <w:tc>
          <w:tcPr>
            <w:tcW w:type="dxa" w:w="86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  <w:highlight w:val="yellow"/>
                <w:highlightCs w:val="yellow"/>
              </w:rPr>
              <w:t xml:space="preserve">«P50_M3»</w:t>
            </w:r>
          </w:p>
        </w:tc>
        <w:tc>
          <w:tcPr>
            <w:tcW w:type="dxa" w:w="86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  <w:highlight w:val="yellow"/>
                <w:highlightCs w:val="yellow"/>
              </w:rPr>
              <w:t xml:space="preserve">«P95_M3»</w:t>
            </w:r>
          </w:p>
        </w:tc>
        <w:tc>
          <w:tcPr>
            <w:tcW w:type="dxa" w:w="80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  <w:highlight w:val="yellow"/>
                <w:highlightCs w:val="yellow"/>
              </w:rPr>
              <w:t xml:space="preserve">«CUMPLE_M3»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shd w:fill="F2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M4 · DistilBERT mult.</w:t>
            </w:r>
          </w:p>
        </w:tc>
        <w:tc>
          <w:tcPr>
            <w:tcW w:type="dxa" w:w="86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shd w:fill="F2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  <w:highlight w:val="yellow"/>
                <w:highlightCs w:val="yellow"/>
              </w:rPr>
              <w:t xml:space="preserve">«ACC_M4»</w:t>
            </w:r>
          </w:p>
        </w:tc>
        <w:tc>
          <w:tcPr>
            <w:tcW w:type="dxa" w:w="86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shd w:fill="F2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  <w:highlight w:val="yellow"/>
                <w:highlightCs w:val="yellow"/>
              </w:rPr>
              <w:t xml:space="preserve">«PREC_M4»</w:t>
            </w:r>
          </w:p>
        </w:tc>
        <w:tc>
          <w:tcPr>
            <w:tcW w:type="dxa" w:w="86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shd w:fill="F2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  <w:highlight w:val="yellow"/>
                <w:highlightCs w:val="yellow"/>
              </w:rPr>
              <w:t xml:space="preserve">«REC_M4»</w:t>
            </w:r>
          </w:p>
        </w:tc>
        <w:tc>
          <w:tcPr>
            <w:tcW w:type="dxa" w:w="86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shd w:fill="F2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  <w:highlight w:val="yellow"/>
                <w:highlightCs w:val="yellow"/>
              </w:rPr>
              <w:t xml:space="preserve">«F1_M4»</w:t>
            </w:r>
          </w:p>
        </w:tc>
        <w:tc>
          <w:tcPr>
            <w:tcW w:type="dxa" w:w="90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shd w:fill="F2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  <w:highlight w:val="yellow"/>
                <w:highlightCs w:val="yellow"/>
              </w:rPr>
              <w:t xml:space="preserve">«RNEG_M4»</w:t>
            </w:r>
          </w:p>
        </w:tc>
        <w:tc>
          <w:tcPr>
            <w:tcW w:type="dxa" w:w="90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shd w:fill="F2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  <w:highlight w:val="yellow"/>
                <w:highlightCs w:val="yellow"/>
              </w:rPr>
              <w:t xml:space="preserve">«RNEU_M4»</w:t>
            </w:r>
          </w:p>
        </w:tc>
        <w:tc>
          <w:tcPr>
            <w:tcW w:type="dxa" w:w="86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shd w:fill="F2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  <w:highlight w:val="yellow"/>
                <w:highlightCs w:val="yellow"/>
              </w:rPr>
              <w:t xml:space="preserve">«P50_M4»</w:t>
            </w:r>
          </w:p>
        </w:tc>
        <w:tc>
          <w:tcPr>
            <w:tcW w:type="dxa" w:w="86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shd w:fill="F2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  <w:highlight w:val="yellow"/>
                <w:highlightCs w:val="yellow"/>
              </w:rPr>
              <w:t xml:space="preserve">«P95_M4»</w:t>
            </w:r>
          </w:p>
        </w:tc>
        <w:tc>
          <w:tcPr>
            <w:tcW w:type="dxa" w:w="80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shd w:fill="F2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  <w:highlight w:val="yellow"/>
                <w:highlightCs w:val="yellow"/>
              </w:rPr>
              <w:t xml:space="preserve">«CUMPLE_M4»</w:t>
            </w:r>
          </w:p>
        </w:tc>
      </w:tr>
    </w:tbl>
    <w:p>
      <w:pPr>
        <w:spacing w:after="200" w:before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Tabla 5. Métricas sobre el dataset completo (inferencia zero-shot). Latencia individual por reseña tras calentamiento.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El notebook también reporta la latencia media en lote (batch 16) y el throughput: M1 </w:t>
      </w:r>
      <w:r>
        <w:rPr>
          <w:rFonts w:ascii="Arial" w:cs="Arial" w:eastAsia="Arial" w:hAnsi="Arial"/>
          <w:highlight w:val="yellow"/>
          <w:highlightCs w:val="yellow"/>
        </w:rPr>
        <w:t xml:space="preserve">«LOTE_M1»</w:t>
      </w:r>
      <w:r>
        <w:rPr>
          <w:rFonts w:ascii="Arial" w:cs="Arial" w:eastAsia="Arial" w:hAnsi="Arial"/>
        </w:rPr>
        <w:t xml:space="preserve"> ms/reseña (</w:t>
      </w:r>
      <w:r>
        <w:rPr>
          <w:rFonts w:ascii="Arial" w:cs="Arial" w:eastAsia="Arial" w:hAnsi="Arial"/>
          <w:highlight w:val="yellow"/>
          <w:highlightCs w:val="yellow"/>
        </w:rPr>
        <w:t xml:space="preserve">«RPS_M1»</w:t>
      </w:r>
      <w:r>
        <w:rPr>
          <w:rFonts w:ascii="Arial" w:cs="Arial" w:eastAsia="Arial" w:hAnsi="Arial"/>
        </w:rPr>
        <w:t xml:space="preserve"> reseñas/s), M2 </w:t>
      </w:r>
      <w:r>
        <w:rPr>
          <w:rFonts w:ascii="Arial" w:cs="Arial" w:eastAsia="Arial" w:hAnsi="Arial"/>
          <w:highlight w:val="yellow"/>
          <w:highlightCs w:val="yellow"/>
        </w:rPr>
        <w:t xml:space="preserve">«LOTE_M2»</w:t>
      </w:r>
      <w:r>
        <w:rPr>
          <w:rFonts w:ascii="Arial" w:cs="Arial" w:eastAsia="Arial" w:hAnsi="Arial"/>
        </w:rPr>
        <w:t xml:space="preserve"> ms (</w:t>
      </w:r>
      <w:r>
        <w:rPr>
          <w:rFonts w:ascii="Arial" w:cs="Arial" w:eastAsia="Arial" w:hAnsi="Arial"/>
          <w:highlight w:val="yellow"/>
          <w:highlightCs w:val="yellow"/>
        </w:rPr>
        <w:t xml:space="preserve">«RPS_M2»</w:t>
      </w:r>
      <w:r>
        <w:rPr>
          <w:rFonts w:ascii="Arial" w:cs="Arial" w:eastAsia="Arial" w:hAnsi="Arial"/>
        </w:rPr>
        <w:t xml:space="preserve">/s), M3 </w:t>
      </w:r>
      <w:r>
        <w:rPr>
          <w:rFonts w:ascii="Arial" w:cs="Arial" w:eastAsia="Arial" w:hAnsi="Arial"/>
          <w:highlight w:val="yellow"/>
          <w:highlightCs w:val="yellow"/>
        </w:rPr>
        <w:t xml:space="preserve">«LOTE_M3»</w:t>
      </w:r>
      <w:r>
        <w:rPr>
          <w:rFonts w:ascii="Arial" w:cs="Arial" w:eastAsia="Arial" w:hAnsi="Arial"/>
        </w:rPr>
        <w:t xml:space="preserve"> ms (</w:t>
      </w:r>
      <w:r>
        <w:rPr>
          <w:rFonts w:ascii="Arial" w:cs="Arial" w:eastAsia="Arial" w:hAnsi="Arial"/>
          <w:highlight w:val="yellow"/>
          <w:highlightCs w:val="yellow"/>
        </w:rPr>
        <w:t xml:space="preserve">«RPS_M3»</w:t>
      </w:r>
      <w:r>
        <w:rPr>
          <w:rFonts w:ascii="Arial" w:cs="Arial" w:eastAsia="Arial" w:hAnsi="Arial"/>
        </w:rPr>
        <w:t xml:space="preserve">/s) y M4 </w:t>
      </w:r>
      <w:r>
        <w:rPr>
          <w:rFonts w:ascii="Arial" w:cs="Arial" w:eastAsia="Arial" w:hAnsi="Arial"/>
          <w:highlight w:val="yellow"/>
          <w:highlightCs w:val="yellow"/>
        </w:rPr>
        <w:t xml:space="preserve">«LOTE_M4»</w:t>
      </w:r>
      <w:r>
        <w:rPr>
          <w:rFonts w:ascii="Arial" w:cs="Arial" w:eastAsia="Arial" w:hAnsi="Arial"/>
        </w:rPr>
        <w:t xml:space="preserve"> ms (</w:t>
      </w:r>
      <w:r>
        <w:rPr>
          <w:rFonts w:ascii="Arial" w:cs="Arial" w:eastAsia="Arial" w:hAnsi="Arial"/>
          <w:highlight w:val="yellow"/>
          <w:highlightCs w:val="yellow"/>
        </w:rPr>
        <w:t xml:space="preserve">«RPS_M4»</w:t>
      </w:r>
      <w:r>
        <w:rPr>
          <w:rFonts w:ascii="Arial" w:cs="Arial" w:eastAsia="Arial" w:hAnsi="Arial"/>
        </w:rPr>
        <w:t xml:space="preserve">/s). Las matrices de confusión y la gráfica de eficiencia frente a precisión se guardan en results/.</w:t>
      </w:r>
    </w:p>
    <w:p>
      <w:pPr>
        <w:pStyle w:val="Heading1"/>
      </w:pPr>
      <w:r>
        <w:rPr>
          <w:rFonts w:ascii="Arial" w:cs="Arial" w:eastAsia="Arial" w:hAnsi="Arial"/>
        </w:rPr>
        <w:t xml:space="preserve">5. Análisis de trade-offs: eficiencia frente a precisión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El modelo con mejor F1-macro fue </w:t>
      </w:r>
      <w:r>
        <w:rPr>
          <w:rFonts w:ascii="Arial" w:cs="Arial" w:eastAsia="Arial" w:hAnsi="Arial"/>
          <w:highlight w:val="yellow"/>
          <w:highlightCs w:val="yellow"/>
        </w:rPr>
        <w:t xml:space="preserve">«MAS_PRECISO»</w:t>
      </w:r>
      <w:r>
        <w:rPr>
          <w:rFonts w:ascii="Arial" w:cs="Arial" w:eastAsia="Arial" w:hAnsi="Arial"/>
        </w:rPr>
        <w:t xml:space="preserve"> y el de menor latencia fue </w:t>
      </w:r>
      <w:r>
        <w:rPr>
          <w:rFonts w:ascii="Arial" w:cs="Arial" w:eastAsia="Arial" w:hAnsi="Arial"/>
          <w:highlight w:val="yellow"/>
          <w:highlightCs w:val="yellow"/>
        </w:rPr>
        <w:t xml:space="preserve">«MAS_RAPIDO»</w:t>
      </w:r>
      <w:r>
        <w:rPr>
          <w:rFonts w:ascii="Arial" w:cs="Arial" w:eastAsia="Arial" w:hAnsi="Arial"/>
        </w:rPr>
        <w:t xml:space="preserve">. El más rápido responde </w:t>
      </w:r>
      <w:r>
        <w:rPr>
          <w:rFonts w:ascii="Arial" w:cs="Arial" w:eastAsia="Arial" w:hAnsi="Arial"/>
          <w:highlight w:val="yellow"/>
          <w:highlightCs w:val="yellow"/>
        </w:rPr>
        <w:t xml:space="preserve">«FACTOR»</w:t>
      </w:r>
      <w:r>
        <w:rPr>
          <w:rFonts w:ascii="Arial" w:cs="Arial" w:eastAsia="Arial" w:hAnsi="Arial"/>
        </w:rPr>
        <w:t xml:space="preserve"> veces más rápido que el más preciso, a cambio de </w:t>
      </w:r>
      <w:r>
        <w:rPr>
          <w:rFonts w:ascii="Arial" w:cs="Arial" w:eastAsia="Arial" w:hAnsi="Arial"/>
          <w:highlight w:val="yellow"/>
          <w:highlightCs w:val="yellow"/>
        </w:rPr>
        <w:t xml:space="preserve">«DIF_F1»</w:t>
      </w:r>
      <w:r>
        <w:rPr>
          <w:rFonts w:ascii="Arial" w:cs="Arial" w:eastAsia="Arial" w:hAnsi="Arial"/>
        </w:rPr>
        <w:t xml:space="preserve"> puntos porcentuales de F1-macro (si ambos coinciden, el factor es 1.0 y no hay conflicto que resolver).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Para interpretar esa diferencia en el contexto del negocio conviene separar los dos escenarios de uso. En el </w:t>
      </w:r>
      <w:r>
        <w:rPr>
          <w:rFonts w:ascii="Arial" w:cs="Arial" w:eastAsia="Arial" w:hAnsi="Arial"/>
          <w:b/>
          <w:bCs/>
        </w:rPr>
        <w:t xml:space="preserve">lote nocturno</w:t>
      </w:r>
      <w:r>
        <w:rPr>
          <w:rFonts w:ascii="Arial" w:cs="Arial" w:eastAsia="Arial" w:hAnsi="Arial"/>
        </w:rPr>
        <w:t xml:space="preserve">, incluso el modelo más lento procesa las ≈ 2,000 reseñas semanales en segundos sobre una T4, así que la latencia no es restrictiva y debe privilegiarse la calidad. En la </w:t>
      </w:r>
      <w:r>
        <w:rPr>
          <w:rFonts w:ascii="Arial" w:cs="Arial" w:eastAsia="Arial" w:hAnsi="Arial"/>
          <w:b/>
          <w:bCs/>
        </w:rPr>
        <w:t xml:space="preserve">consulta en línea</w:t>
      </w:r>
      <w:r>
        <w:rPr>
          <w:rFonts w:ascii="Arial" w:cs="Arial" w:eastAsia="Arial" w:hAnsi="Arial"/>
        </w:rPr>
        <w:t xml:space="preserve"> desde el tablero, lo relevante es el p95: mientras se mantenga bajo 100 ms la experiencia no se degrada, y ganar milisegundos adicionales no aporta valor al usuario.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Por ello la regla de decisión usa la latencia como restricción y como desempate, no como objetivo principal. Además del promedio, se revisan tres aspectos que el accuracy oculta: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Clase neutral.</w:t>
      </w:r>
      <w:r>
        <w:rPr>
          <w:rFonts w:ascii="Arial" w:cs="Arial" w:eastAsia="Arial" w:hAnsi="Arial"/>
        </w:rPr>
        <w:t xml:space="preserve"> Es la más ambigua por definición, por lo que se revisa el recall NEU de cada modelo (</w:t>
      </w:r>
      <w:r>
        <w:rPr>
          <w:rFonts w:ascii="Arial" w:cs="Arial" w:eastAsia="Arial" w:hAnsi="Arial"/>
          <w:highlight w:val="yellow"/>
          <w:highlightCs w:val="yellow"/>
        </w:rPr>
        <w:t xml:space="preserve">«RNEU_M1»</w:t>
      </w:r>
      <w:r>
        <w:rPr>
          <w:rFonts w:ascii="Arial" w:cs="Arial" w:eastAsia="Arial" w:hAnsi="Arial"/>
        </w:rPr>
        <w:t xml:space="preserve">, </w:t>
      </w:r>
      <w:r>
        <w:rPr>
          <w:rFonts w:ascii="Arial" w:cs="Arial" w:eastAsia="Arial" w:hAnsi="Arial"/>
          <w:highlight w:val="yellow"/>
          <w:highlightCs w:val="yellow"/>
        </w:rPr>
        <w:t xml:space="preserve">«RNEU_M2»</w:t>
      </w:r>
      <w:r>
        <w:rPr>
          <w:rFonts w:ascii="Arial" w:cs="Arial" w:eastAsia="Arial" w:hAnsi="Arial"/>
        </w:rPr>
        <w:t xml:space="preserve">, </w:t>
      </w:r>
      <w:r>
        <w:rPr>
          <w:rFonts w:ascii="Arial" w:cs="Arial" w:eastAsia="Arial" w:hAnsi="Arial"/>
          <w:highlight w:val="yellow"/>
          <w:highlightCs w:val="yellow"/>
        </w:rPr>
        <w:t xml:space="preserve">«RNEU_M3»</w:t>
      </w:r>
      <w:r>
        <w:rPr>
          <w:rFonts w:ascii="Arial" w:cs="Arial" w:eastAsia="Arial" w:hAnsi="Arial"/>
        </w:rPr>
        <w:t xml:space="preserve"> y </w:t>
      </w:r>
      <w:r>
        <w:rPr>
          <w:rFonts w:ascii="Arial" w:cs="Arial" w:eastAsia="Arial" w:hAnsi="Arial"/>
          <w:highlight w:val="yellow"/>
          <w:highlightCs w:val="yellow"/>
        </w:rPr>
        <w:t xml:space="preserve">«RNEU_M4»</w:t>
      </w:r>
      <w:r>
        <w:rPr>
          <w:rFonts w:ascii="Arial" w:cs="Arial" w:eastAsia="Arial" w:hAnsi="Arial"/>
        </w:rPr>
        <w:t xml:space="preserve"> para M1 a M4). M3 depende además de una conversión de estrellas (3 = NEU) que no fue diseñada para reseñas de servicio.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Clase negativa.</w:t>
      </w:r>
      <w:r>
        <w:rPr>
          <w:rFonts w:ascii="Arial" w:cs="Arial" w:eastAsia="Arial" w:hAnsi="Arial"/>
        </w:rPr>
        <w:t xml:space="preserve"> Es la que dispara las alertas; un modelo con buen accuracy pero recall NEG bajo es inútil para el objetivo operativo.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Casos difíciles.</w:t>
      </w:r>
      <w:r>
        <w:rPr>
          <w:rFonts w:ascii="Arial" w:cs="Arial" w:eastAsia="Arial" w:hAnsi="Arial"/>
        </w:rPr>
        <w:t xml:space="preserve"> Ironía, sentimiento mixto y negaciones (12 % del dataset) se evalúan por separado en la celda 12; ahí se ve si la ventaja de un modelo grande se sostiene donde realmente importa.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En recursos, el modelo destilado (M4) y el nativo en español (M1) ocupan menos memoria que XLM-R (M2), lo que importa si el servicio se lleva a una instancia CPU o a una GPU compartida. Ese ahorro solo justifica sacrificar calidad si el modelo más ligero sigue cumpliendo los umbrales.</w:t>
      </w:r>
    </w:p>
    <w:p>
      <w:pPr>
        <w:pStyle w:val="Heading1"/>
      </w:pPr>
      <w:r>
        <w:rPr>
          <w:rFonts w:ascii="Arial" w:cs="Arial" w:eastAsia="Arial" w:hAnsi="Arial"/>
        </w:rPr>
        <w:t xml:space="preserve">6. Decisiones de ajuste mínimo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De acuerdo con el Tema 10, primero se aplicaron ajustes que no modifican los pesos del modelo; el fine-tuning solo se activa si ningún candidato cumple los umbrales.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shd w:fill="1F6E4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Ajuste</w:t>
            </w:r>
          </w:p>
        </w:tc>
        <w:tc>
          <w:tcPr>
            <w:tcW w:type="dxa" w:w="348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shd w:fill="1F6E4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Motivo</w:t>
            </w:r>
          </w:p>
        </w:tc>
        <w:tc>
          <w:tcPr>
            <w:tcW w:type="dxa" w:w="348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shd w:fill="1F6E4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Implementación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Normalización de etiquetas reales</w:t>
            </w:r>
          </w:p>
        </w:tc>
        <w:tc>
          <w:tcPr>
            <w:tcW w:type="dxa" w:w="348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 dataset usa positivo / neutral / negativo</w:t>
            </w:r>
          </w:p>
        </w:tc>
        <w:tc>
          <w:tcPr>
            <w:tcW w:type="dxa" w:w="348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Mapeo a POS / NEU / NEG y a enteros NEG=0, NEU=1, POS=2 (celda 6)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shd w:fill="F2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Unificación de salidas</w:t>
            </w:r>
          </w:p>
        </w:tc>
        <w:tc>
          <w:tcPr>
            <w:tcW w:type="dxa" w:w="348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shd w:fill="F2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Cada modelo usa un esquema distinto (POS, positive, LABEL_2, 4 stars)</w:t>
            </w:r>
          </w:p>
        </w:tc>
        <w:tc>
          <w:tcPr>
            <w:tcW w:type="dxa" w:w="348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shd w:fill="F2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Función normalizar_prediccion(); estrellas 1–2 = NEG, 3 = NEU, 4–5 = POS (celda 8)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Truncado de entrada</w:t>
            </w:r>
          </w:p>
        </w:tc>
        <w:tc>
          <w:tcPr>
            <w:tcW w:type="dxa" w:w="348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RoBERTuito admite como máximo 128 tokens</w:t>
            </w:r>
          </w:p>
        </w:tc>
        <w:tc>
          <w:tcPr>
            <w:tcW w:type="dxa" w:w="348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truncation=True, max_length=128 en todos los pipelines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shd w:fill="F2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Limpieza ligera de texto</w:t>
            </w:r>
          </w:p>
        </w:tc>
        <w:tc>
          <w:tcPr>
            <w:tcW w:type="dxa" w:w="348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shd w:fill="F2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Espacios repetidos y registros vacíos</w:t>
            </w:r>
          </w:p>
        </w:tc>
        <w:tc>
          <w:tcPr>
            <w:tcW w:type="dxa" w:w="348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shd w:fill="F2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Regex de espacios; se conservan emojis y signos porque los modelos de redes sociales los usan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Uso de GPU y lotes</w:t>
            </w:r>
          </w:p>
        </w:tc>
        <w:tc>
          <w:tcPr>
            <w:tcW w:type="dxa" w:w="348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Reducir latencia y medirla de forma comparable</w:t>
            </w:r>
          </w:p>
        </w:tc>
        <w:tc>
          <w:tcPr>
            <w:tcW w:type="dxa" w:w="348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device=0, batch_size=16, calentamiento previo y sincronización CUDA al medir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shd w:fill="F2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Fine-tuning condicional</w:t>
            </w:r>
          </w:p>
        </w:tc>
        <w:tc>
          <w:tcPr>
            <w:tcW w:type="dxa" w:w="348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shd w:fill="F2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Solo si ningún modelo cumple umbrales</w:t>
            </w:r>
          </w:p>
        </w:tc>
        <w:tc>
          <w:tcPr>
            <w:tcW w:type="dxa" w:w="348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shd w:fill="F2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Partición 80/20 estratificada, 3 épocas, lr 2e-5, fp16; evaluación solo en prueba (celda 16)</w:t>
            </w:r>
          </w:p>
        </w:tc>
      </w:tr>
    </w:tbl>
    <w:p>
      <w:pPr>
        <w:spacing w:after="200" w:before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Tabla 6. Ajustes mínimos aplicados.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</w:rPr>
        <w:t xml:space="preserve">Resultado de la decisión:</w:t>
      </w:r>
      <w:r>
        <w:rPr>
          <w:rFonts w:ascii="Arial" w:cs="Arial" w:eastAsia="Arial" w:hAnsi="Arial"/>
        </w:rPr>
        <w:t xml:space="preserve"> </w:t>
      </w:r>
      <w:r>
        <w:rPr>
          <w:rFonts w:ascii="Arial" w:cs="Arial" w:eastAsia="Arial" w:hAnsi="Arial"/>
          <w:highlight w:val="yellow"/>
          <w:highlightCs w:val="yellow"/>
        </w:rPr>
        <w:t xml:space="preserve">«DECISION_FT»</w:t>
      </w:r>
    </w:p>
    <w:p>
      <w:pPr>
        <w:pStyle w:val="Heading1"/>
      </w:pPr>
      <w:r>
        <w:rPr>
          <w:rFonts w:ascii="Arial" w:cs="Arial" w:eastAsia="Arial" w:hAnsi="Arial"/>
        </w:rPr>
        <w:t xml:space="preserve">7. Justificación del modelo recomendado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La regla de selección se fijó antes de ejecutar: entre los modelos que cumplen todos los umbrales se elige el de mayor F1-macro; si otro queda a 0.02 o menos, se prefiere el más rápido. Si ninguno los cumple, se recomienda el de mayor F1-macro y se aplica fine-tuning.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Al aplicar la regla, el modelo recomendado es </w:t>
      </w:r>
      <w:r>
        <w:rPr>
          <w:rFonts w:ascii="Arial" w:cs="Arial" w:eastAsia="Arial" w:hAnsi="Arial"/>
          <w:b/>
          <w:bCs/>
          <w:highlight w:val="yellow"/>
          <w:highlightCs w:val="yellow"/>
        </w:rPr>
        <w:t xml:space="preserve">«REC_MODELO»</w:t>
      </w:r>
      <w:r>
        <w:rPr>
          <w:rFonts w:ascii="Arial" w:cs="Arial" w:eastAsia="Arial" w:hAnsi="Arial"/>
        </w:rPr>
        <w:t xml:space="preserve">, con F1-macro de </w:t>
      </w:r>
      <w:r>
        <w:rPr>
          <w:rFonts w:ascii="Arial" w:cs="Arial" w:eastAsia="Arial" w:hAnsi="Arial"/>
          <w:highlight w:val="yellow"/>
          <w:highlightCs w:val="yellow"/>
        </w:rPr>
        <w:t xml:space="preserve">«F1_REC»</w:t>
      </w:r>
      <w:r>
        <w:rPr>
          <w:rFonts w:ascii="Arial" w:cs="Arial" w:eastAsia="Arial" w:hAnsi="Arial"/>
        </w:rPr>
        <w:t xml:space="preserve">, accuracy de </w:t>
      </w:r>
      <w:r>
        <w:rPr>
          <w:rFonts w:ascii="Arial" w:cs="Arial" w:eastAsia="Arial" w:hAnsi="Arial"/>
          <w:highlight w:val="yellow"/>
          <w:highlightCs w:val="yellow"/>
        </w:rPr>
        <w:t xml:space="preserve">«ACC_REC»</w:t>
      </w:r>
      <w:r>
        <w:rPr>
          <w:rFonts w:ascii="Arial" w:cs="Arial" w:eastAsia="Arial" w:hAnsi="Arial"/>
        </w:rPr>
        <w:t xml:space="preserve">, recall en la clase negativa de </w:t>
      </w:r>
      <w:r>
        <w:rPr>
          <w:rFonts w:ascii="Arial" w:cs="Arial" w:eastAsia="Arial" w:hAnsi="Arial"/>
          <w:highlight w:val="yellow"/>
          <w:highlightCs w:val="yellow"/>
        </w:rPr>
        <w:t xml:space="preserve">«RNEG_REC»</w:t>
      </w:r>
      <w:r>
        <w:rPr>
          <w:rFonts w:ascii="Arial" w:cs="Arial" w:eastAsia="Arial" w:hAnsi="Arial"/>
        </w:rPr>
        <w:t xml:space="preserve"> y latencia individual de </w:t>
      </w:r>
      <w:r>
        <w:rPr>
          <w:rFonts w:ascii="Arial" w:cs="Arial" w:eastAsia="Arial" w:hAnsi="Arial"/>
          <w:highlight w:val="yellow"/>
          <w:highlightCs w:val="yellow"/>
        </w:rPr>
        <w:t xml:space="preserve">«P50_REC»</w:t>
      </w:r>
      <w:r>
        <w:rPr>
          <w:rFonts w:ascii="Arial" w:cs="Arial" w:eastAsia="Arial" w:hAnsi="Arial"/>
        </w:rPr>
        <w:t xml:space="preserve"> ms (p50) / </w:t>
      </w:r>
      <w:r>
        <w:rPr>
          <w:rFonts w:ascii="Arial" w:cs="Arial" w:eastAsia="Arial" w:hAnsi="Arial"/>
          <w:highlight w:val="yellow"/>
          <w:highlightCs w:val="yellow"/>
        </w:rPr>
        <w:t xml:space="preserve">«P95_REC»</w:t>
      </w:r>
      <w:r>
        <w:rPr>
          <w:rFonts w:ascii="Arial" w:cs="Arial" w:eastAsia="Arial" w:hAnsi="Arial"/>
        </w:rPr>
        <w:t xml:space="preserve"> ms (p95) en una GPU T4.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La justificación descansa en tres argumentos. Primero, </w:t>
      </w:r>
      <w:r>
        <w:rPr>
          <w:rFonts w:ascii="Arial" w:cs="Arial" w:eastAsia="Arial" w:hAnsi="Arial"/>
          <w:b/>
          <w:bCs/>
        </w:rPr>
        <w:t xml:space="preserve">objetivo real</w:t>
      </w:r>
      <w:r>
        <w:rPr>
          <w:rFonts w:ascii="Arial" w:cs="Arial" w:eastAsia="Arial" w:hAnsi="Arial"/>
        </w:rPr>
        <w:t xml:space="preserve">: la métrica principal es F1-macro con un piso explícito de recall NEG, porque el valor del sistema está en no dejar pasar quejas, no en acertar las reseñas positivas que ya son mayoría. Segundo, </w:t>
      </w:r>
      <w:r>
        <w:rPr>
          <w:rFonts w:ascii="Arial" w:cs="Arial" w:eastAsia="Arial" w:hAnsi="Arial"/>
          <w:b/>
          <w:bCs/>
        </w:rPr>
        <w:t xml:space="preserve">evidencia propia</w:t>
      </w:r>
      <w:r>
        <w:rPr>
          <w:rFonts w:ascii="Arial" w:cs="Arial" w:eastAsia="Arial" w:hAnsi="Arial"/>
        </w:rPr>
        <w:t xml:space="preserve">: la comparación se hizo con reseñas del dominio farmacéutico y no con los benchmarks de las model cards, que provienen de tuits o reseñas de productos. Tercero, </w:t>
      </w:r>
      <w:r>
        <w:rPr>
          <w:rFonts w:ascii="Arial" w:cs="Arial" w:eastAsia="Arial" w:hAnsi="Arial"/>
          <w:b/>
          <w:bCs/>
        </w:rPr>
        <w:t xml:space="preserve">viabilidad operativa</w:t>
      </w:r>
      <w:r>
        <w:rPr>
          <w:rFonts w:ascii="Arial" w:cs="Arial" w:eastAsia="Arial" w:hAnsi="Arial"/>
        </w:rPr>
        <w:t xml:space="preserve">: el modelo corre en una GPU gratuita con un p95 de </w:t>
      </w:r>
      <w:r>
        <w:rPr>
          <w:rFonts w:ascii="Arial" w:cs="Arial" w:eastAsia="Arial" w:hAnsi="Arial"/>
          <w:highlight w:val="yellow"/>
          <w:highlightCs w:val="yellow"/>
        </w:rPr>
        <w:t xml:space="preserve">«P95_REC»</w:t>
      </w:r>
      <w:r>
        <w:rPr>
          <w:rFonts w:ascii="Arial" w:cs="Arial" w:eastAsia="Arial" w:hAnsi="Arial"/>
        </w:rPr>
        <w:t xml:space="preserve"> ms frente al umbral de 100 ms, por lo que puede pasar a producción en una instancia modesta sin rediseñar la arquitectura.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Antes de producción, la licencia del modelo recomendado (</w:t>
      </w:r>
      <w:r>
        <w:rPr>
          <w:rFonts w:ascii="Arial" w:cs="Arial" w:eastAsia="Arial" w:hAnsi="Arial"/>
          <w:highlight w:val="yellow"/>
          <w:highlightCs w:val="yellow"/>
        </w:rPr>
        <w:t xml:space="preserve">«LIC_M1»</w:t>
      </w:r>
      <w:r>
        <w:rPr>
          <w:rFonts w:ascii="Arial" w:cs="Arial" w:eastAsia="Arial" w:hAnsi="Arial"/>
        </w:rPr>
        <w:t xml:space="preserve"> para M1, </w:t>
      </w:r>
      <w:r>
        <w:rPr>
          <w:rFonts w:ascii="Arial" w:cs="Arial" w:eastAsia="Arial" w:hAnsi="Arial"/>
          <w:highlight w:val="yellow"/>
          <w:highlightCs w:val="yellow"/>
        </w:rPr>
        <w:t xml:space="preserve">«LIC_M2»</w:t>
      </w:r>
      <w:r>
        <w:rPr>
          <w:rFonts w:ascii="Arial" w:cs="Arial" w:eastAsia="Arial" w:hAnsi="Arial"/>
        </w:rPr>
        <w:t xml:space="preserve"> para M2, </w:t>
      </w:r>
      <w:r>
        <w:rPr>
          <w:rFonts w:ascii="Arial" w:cs="Arial" w:eastAsia="Arial" w:hAnsi="Arial"/>
          <w:highlight w:val="yellow"/>
          <w:highlightCs w:val="yellow"/>
        </w:rPr>
        <w:t xml:space="preserve">«LIC_M3»</w:t>
      </w:r>
      <w:r>
        <w:rPr>
          <w:rFonts w:ascii="Arial" w:cs="Arial" w:eastAsia="Arial" w:hAnsi="Arial"/>
        </w:rPr>
        <w:t xml:space="preserve"> para M3, </w:t>
      </w:r>
      <w:r>
        <w:rPr>
          <w:rFonts w:ascii="Arial" w:cs="Arial" w:eastAsia="Arial" w:hAnsi="Arial"/>
          <w:highlight w:val="yellow"/>
          <w:highlightCs w:val="yellow"/>
        </w:rPr>
        <w:t xml:space="preserve">«LIC_M4»</w:t>
      </w:r>
      <w:r>
        <w:rPr>
          <w:rFonts w:ascii="Arial" w:cs="Arial" w:eastAsia="Arial" w:hAnsi="Arial"/>
        </w:rPr>
        <w:t xml:space="preserve"> para M4) debe validarse con el área legal: algunos modelos de investigación restringen el uso comercial o heredan restricciones de sus datos de entrenamiento.</w:t>
      </w:r>
    </w:p>
    <w:p>
      <w:pPr>
        <w:pStyle w:val="Heading1"/>
      </w:pPr>
      <w:r>
        <w:rPr>
          <w:rFonts w:ascii="Arial" w:cs="Arial" w:eastAsia="Arial" w:hAnsi="Arial"/>
        </w:rPr>
        <w:t xml:space="preserve">8. Umbrales y riesgos</w:t>
      </w:r>
    </w:p>
    <w:p>
      <w:pPr>
        <w:pStyle w:val="Heading2"/>
      </w:pPr>
      <w:r>
        <w:rPr>
          <w:rFonts w:ascii="Arial" w:cs="Arial" w:eastAsia="Arial" w:hAnsi="Arial"/>
        </w:rPr>
        <w:t xml:space="preserve">8.1 Umbrales de aceptación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160"/>
      </w:tblGrid>
      <w:tr>
        <w:trPr>
          <w:tblHeader/>
        </w:trPr>
        <w:tc>
          <w:tcPr>
            <w:tcW w:type="dxa" w:w="260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shd w:fill="1F6E4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Métrica</w:t>
            </w:r>
          </w:p>
        </w:tc>
        <w:tc>
          <w:tcPr>
            <w:tcW w:type="dxa" w:w="160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shd w:fill="1F6E4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Umbral</w:t>
            </w:r>
          </w:p>
        </w:tc>
        <w:tc>
          <w:tcPr>
            <w:tcW w:type="dxa" w:w="516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shd w:fill="1F6E4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Justificación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Accuracy</w:t>
            </w:r>
          </w:p>
        </w:tc>
        <w:tc>
          <w:tcPr>
            <w:tcW w:type="dxa" w:w="160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≥ 0.80</w:t>
            </w:r>
          </w:p>
        </w:tc>
        <w:tc>
          <w:tcPr>
            <w:tcW w:type="dxa" w:w="516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Requisito de gerencia, consistente con el caso de referencia del Tema 10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shd w:fill="F2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F1-macro</w:t>
            </w:r>
          </w:p>
        </w:tc>
        <w:tc>
          <w:tcPr>
            <w:tcW w:type="dxa" w:w="160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shd w:fill="F2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≥ 0.75</w:t>
            </w:r>
          </w:p>
        </w:tc>
        <w:tc>
          <w:tcPr>
            <w:tcW w:type="dxa" w:w="516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shd w:fill="F2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 clases desbalanceadas (≈ 53/25/21 %) el accuracy puede ser alto aun fallando en NEU y NEG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Recall NEG</w:t>
            </w:r>
          </w:p>
        </w:tc>
        <w:tc>
          <w:tcPr>
            <w:tcW w:type="dxa" w:w="160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≥ 0.75</w:t>
            </w:r>
          </w:p>
        </w:tc>
        <w:tc>
          <w:tcPr>
            <w:tcW w:type="dxa" w:w="516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 menos 3 de cada 4 quejas deben generar alerta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shd w:fill="F2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Latencia p95</w:t>
            </w:r>
          </w:p>
        </w:tc>
        <w:tc>
          <w:tcPr>
            <w:tcW w:type="dxa" w:w="160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shd w:fill="F2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≤ 100 ms</w:t>
            </w:r>
          </w:p>
        </w:tc>
        <w:tc>
          <w:tcPr>
            <w:tcW w:type="dxa" w:w="516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shd w:fill="F2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Consulta en línea desde el tablero sin espera perceptible</w:t>
            </w:r>
          </w:p>
        </w:tc>
      </w:tr>
    </w:tbl>
    <w:p>
      <w:pPr>
        <w:spacing w:after="200" w:before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Tabla 7. Umbrales definidos antes de la ejecución.</w:t>
      </w:r>
    </w:p>
    <w:p>
      <w:pPr>
        <w:pStyle w:val="Heading2"/>
      </w:pPr>
      <w:r>
        <w:rPr>
          <w:rFonts w:ascii="Arial" w:cs="Arial" w:eastAsia="Arial" w:hAnsi="Arial"/>
        </w:rPr>
        <w:t xml:space="preserve">8.2 Riesgos y mitigación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100"/>
        <w:gridCol w:w="5760"/>
      </w:tblGrid>
      <w:tr>
        <w:trPr>
          <w:tblHeader/>
        </w:trPr>
        <w:tc>
          <w:tcPr>
            <w:tcW w:type="dxa" w:w="250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shd w:fill="1F6E4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Riesgo</w:t>
            </w:r>
          </w:p>
        </w:tc>
        <w:tc>
          <w:tcPr>
            <w:tcW w:type="dxa" w:w="110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shd w:fill="1F6E4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Impacto</w:t>
            </w:r>
          </w:p>
        </w:tc>
        <w:tc>
          <w:tcPr>
            <w:tcW w:type="dxa" w:w="576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shd w:fill="1F6E4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Mitigación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Dataset sintético: las métricas pueden ser optimistas porque las plantillas son más regulares que el lenguaje real</w:t>
            </w:r>
          </w:p>
        </w:tc>
        <w:tc>
          <w:tcPr>
            <w:tcW w:type="dxa" w:w="110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Alto</w:t>
            </w:r>
          </w:p>
        </w:tc>
        <w:tc>
          <w:tcPr>
            <w:tcW w:type="dxa" w:w="576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Validar con 300–500 reseñas reales etiquetadas por dos personas (medir acuerdo con kappa) antes de producción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shd w:fill="F2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Ironía y sentimiento mixto mal clasificados</w:t>
            </w:r>
          </w:p>
        </w:tc>
        <w:tc>
          <w:tcPr>
            <w:tcW w:type="dxa" w:w="110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shd w:fill="F2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Medio</w:t>
            </w:r>
          </w:p>
        </w:tc>
        <w:tc>
          <w:tcPr>
            <w:tcW w:type="dxa" w:w="576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shd w:fill="F2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Subconjunto de casos difíciles monitoreado por separado; revisión humana de reseñas con confianza &lt; 0.6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Deriva del lenguaje (nuevos productos, modismos, campañas)</w:t>
            </w:r>
          </w:p>
        </w:tc>
        <w:tc>
          <w:tcPr>
            <w:tcW w:type="dxa" w:w="110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Medio</w:t>
            </w:r>
          </w:p>
        </w:tc>
        <w:tc>
          <w:tcPr>
            <w:tcW w:type="dxa" w:w="576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Muestreo mensual de 100 reseñas para reetiquetar; reentrenar si F1-macro cae más de 5 puntos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shd w:fill="F2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Licencia no apta para uso comercial</w:t>
            </w:r>
          </w:p>
        </w:tc>
        <w:tc>
          <w:tcPr>
            <w:tcW w:type="dxa" w:w="110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shd w:fill="F2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Alto</w:t>
            </w:r>
          </w:p>
        </w:tc>
        <w:tc>
          <w:tcPr>
            <w:tcW w:type="dxa" w:w="576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shd w:fill="F2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Revisión legal de la model card; si aplica, reentrenar un modelo con licencia permisiva (MIT/Apache-2.0)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Sesgo por sucursal o canal (encuestas internas más positivas)</w:t>
            </w:r>
          </w:p>
        </w:tc>
        <w:tc>
          <w:tcPr>
            <w:tcW w:type="dxa" w:w="110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Bajo</w:t>
            </w:r>
          </w:p>
        </w:tc>
        <w:tc>
          <w:tcPr>
            <w:tcW w:type="dxa" w:w="576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Reportar métricas por canal y no comparar sucursales con canales distintos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shd w:fill="F2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Dependencia de versiones de bibliotecas</w:t>
            </w:r>
          </w:p>
        </w:tc>
        <w:tc>
          <w:tcPr>
            <w:tcW w:type="dxa" w:w="110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shd w:fill="F2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Bajo</w:t>
            </w:r>
          </w:p>
        </w:tc>
        <w:tc>
          <w:tcPr>
            <w:tcW w:type="dxa" w:w="576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shd w:fill="F2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requirements.txt con versiones mínimas y pip freeze guardado en results/</w:t>
            </w:r>
          </w:p>
        </w:tc>
      </w:tr>
    </w:tbl>
    <w:p>
      <w:pPr>
        <w:spacing w:after="200" w:before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Tabla 8. Matriz de riesgos del prototipo.</w:t>
      </w:r>
    </w:p>
    <w:p>
      <w:pPr>
        <w:pStyle w:val="Heading1"/>
      </w:pPr>
      <w:r>
        <w:rPr>
          <w:rFonts w:ascii="Arial" w:cs="Arial" w:eastAsia="Arial" w:hAnsi="Arial"/>
        </w:rPr>
        <w:t xml:space="preserve">9. Dataset y scripts de soporte</w:t>
      </w:r>
    </w:p>
    <w:p>
      <w:pPr>
        <w:pStyle w:val="Heading2"/>
      </w:pPr>
      <w:r>
        <w:rPr>
          <w:rFonts w:ascii="Arial" w:cs="Arial" w:eastAsia="Arial" w:hAnsi="Arial"/>
        </w:rPr>
        <w:t xml:space="preserve">9.1 Origen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No existe un dataset público de reseñas de farmacias mexicanas con etiquetas de tres clases, y los datos de una cadena real serían confidenciales. Por ello se construyó un </w:t>
      </w:r>
      <w:r>
        <w:rPr>
          <w:rFonts w:ascii="Arial" w:cs="Arial" w:eastAsia="Arial" w:hAnsi="Arial"/>
          <w:b/>
          <w:bCs/>
        </w:rPr>
        <w:t xml:space="preserve">dataset sintético</w:t>
      </w:r>
      <w:r>
        <w:rPr>
          <w:rFonts w:ascii="Arial" w:cs="Arial" w:eastAsia="Arial" w:hAnsi="Arial"/>
        </w:rPr>
        <w:t xml:space="preserve"> de 300 reseñas con el script src/generar_dataset.py (semilla 42). Las reseñas se generan a partir de plantillas redactadas manualmente por categoría (atención, surtido, tiempo de espera, precio e instalaciones) y sentimiento, con sustitución aleatoria de productos, personal y tiempos coherentes con la etiqueta. Un 12 % son casos difíciles (ironía, sentimiento mixto, negaciones) etiquetados a mano.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La distribución imita el desbalance moderado del caso del Tema 10: 160 positivas (53.3 %), 76 neutrales (25.3 %) y 64 negativas (21.3 %); relación mayoritaria/minoritaria de 2.5 a 1. No contiene datos personales.</w:t>
      </w:r>
    </w:p>
    <w:p>
      <w:pPr>
        <w:pStyle w:val="Heading2"/>
      </w:pPr>
      <w:r>
        <w:rPr>
          <w:rFonts w:ascii="Arial" w:cs="Arial" w:eastAsia="Arial" w:hAnsi="Arial"/>
        </w:rPr>
        <w:t xml:space="preserve">9.2 Estructura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300"/>
        <w:gridCol w:w="6160"/>
      </w:tblGrid>
      <w:tr>
        <w:trPr>
          <w:tblHeader/>
        </w:trPr>
        <w:tc>
          <w:tcPr>
            <w:tcW w:type="dxa" w:w="190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shd w:fill="1F6E4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30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shd w:fill="1F6E4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16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shd w:fill="1F6E4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id_resena</w:t>
            </w:r>
          </w:p>
        </w:tc>
        <w:tc>
          <w:tcPr>
            <w:tcW w:type="dxa" w:w="130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texto</w:t>
            </w:r>
          </w:p>
        </w:tc>
        <w:tc>
          <w:tcPr>
            <w:tcW w:type="dxa" w:w="616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Identificador único (R0001…R0300)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shd w:fill="F2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fecha</w:t>
            </w:r>
          </w:p>
        </w:tc>
        <w:tc>
          <w:tcPr>
            <w:tcW w:type="dxa" w:w="130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shd w:fill="F2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fecha ISO</w:t>
            </w:r>
          </w:p>
        </w:tc>
        <w:tc>
          <w:tcPr>
            <w:tcW w:type="dxa" w:w="616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shd w:fill="F2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Fecha de la reseña, entre enero y septiembre de 2026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sucursal</w:t>
            </w:r>
          </w:p>
        </w:tc>
        <w:tc>
          <w:tcPr>
            <w:tcW w:type="dxa" w:w="130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texto</w:t>
            </w:r>
          </w:p>
        </w:tc>
        <w:tc>
          <w:tcPr>
            <w:tcW w:type="dxa" w:w="616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Clave de sucursal (FOS-&lt;ciudad&gt;-&lt;número&gt;)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shd w:fill="F2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ciudad</w:t>
            </w:r>
          </w:p>
        </w:tc>
        <w:tc>
          <w:tcPr>
            <w:tcW w:type="dxa" w:w="130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shd w:fill="F2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texto</w:t>
            </w:r>
          </w:p>
        </w:tc>
        <w:tc>
          <w:tcPr>
            <w:tcW w:type="dxa" w:w="616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shd w:fill="F2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Ciudad de la sucursal (Guadalajara, Zapopan, Colima, Tepic, Morelia, etc.)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canal</w:t>
            </w:r>
          </w:p>
        </w:tc>
        <w:tc>
          <w:tcPr>
            <w:tcW w:type="dxa" w:w="130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categórico</w:t>
            </w:r>
          </w:p>
        </w:tc>
        <w:tc>
          <w:tcPr>
            <w:tcW w:type="dxa" w:w="616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 Reviews, Facebook o Encuesta interna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shd w:fill="F2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categoria</w:t>
            </w:r>
          </w:p>
        </w:tc>
        <w:tc>
          <w:tcPr>
            <w:tcW w:type="dxa" w:w="130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shd w:fill="F2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categórico</w:t>
            </w:r>
          </w:p>
        </w:tc>
        <w:tc>
          <w:tcPr>
            <w:tcW w:type="dxa" w:w="616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shd w:fill="F2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atencion, surtido, tiempo_espera, precio, instalaciones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texto</w:t>
            </w:r>
          </w:p>
        </w:tc>
        <w:tc>
          <w:tcPr>
            <w:tcW w:type="dxa" w:w="130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texto</w:t>
            </w:r>
          </w:p>
        </w:tc>
        <w:tc>
          <w:tcPr>
            <w:tcW w:type="dxa" w:w="616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Contenido de la reseña en español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shd w:fill="F2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sentimiento</w:t>
            </w:r>
          </w:p>
        </w:tc>
        <w:tc>
          <w:tcPr>
            <w:tcW w:type="dxa" w:w="130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shd w:fill="F2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categórico</w:t>
            </w:r>
          </w:p>
        </w:tc>
        <w:tc>
          <w:tcPr>
            <w:tcW w:type="dxa" w:w="616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shd w:fill="F2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Etiqueta real: positivo, neutral o negativo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dificultad</w:t>
            </w:r>
          </w:p>
        </w:tc>
        <w:tc>
          <w:tcPr>
            <w:tcW w:type="dxa" w:w="130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categórico</w:t>
            </w:r>
          </w:p>
        </w:tc>
        <w:tc>
          <w:tcPr>
            <w:tcW w:type="dxa" w:w="616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normal o dificil (ironía, mixto, negación)</w:t>
            </w:r>
          </w:p>
        </w:tc>
      </w:tr>
    </w:tbl>
    <w:p>
      <w:pPr>
        <w:spacing w:after="200" w:before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Tabla 9. Diccionario de datos de data/resenas_farmacias.csv.</w:t>
      </w:r>
    </w:p>
    <w:p>
      <w:pPr>
        <w:pStyle w:val="Heading2"/>
      </w:pPr>
      <w:r>
        <w:rPr>
          <w:rFonts w:ascii="Arial" w:cs="Arial" w:eastAsia="Arial" w:hAnsi="Arial"/>
        </w:rPr>
        <w:t xml:space="preserve">9.3 Scripts reproducibles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shd w:fill="1F6E4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Archivo</w:t>
            </w:r>
          </w:p>
        </w:tc>
        <w:tc>
          <w:tcPr>
            <w:tcW w:type="dxa" w:w="616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shd w:fill="1F6E4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Propósito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src/generar_dataset.py</w:t>
            </w:r>
          </w:p>
        </w:tc>
        <w:tc>
          <w:tcPr>
            <w:tcW w:type="dxa" w:w="616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Regenera el dataset idéntico (python src/generar_dataset.py) o una variante (--n, --seed)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shd w:fill="F2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notebooks/Act4_Comparacion_Modelos_HF.ipynb</w:t>
            </w:r>
          </w:p>
        </w:tc>
        <w:tc>
          <w:tcPr>
            <w:tcW w:type="dxa" w:w="616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shd w:fill="F2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Flujo completo: GPU, dependencias, autenticación, carga, inferencia, métricas, latencia, decisión y fine-tuning opcional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src/llenar_reporte.py</w:t>
            </w:r>
          </w:p>
        </w:tc>
        <w:tc>
          <w:tcPr>
            <w:tcW w:type="dxa" w:w="616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Inserta las cifras de results/ en este documento Word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shd w:fill="F2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src/app_gradio.py</w:t>
            </w:r>
          </w:p>
        </w:tc>
        <w:tc>
          <w:tcPr>
            <w:tcW w:type="dxa" w:w="616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shd w:fill="F2F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Demo del modelo recomendado para Hugging Face Spaces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requirements.txt</w:t>
            </w:r>
          </w:p>
        </w:tc>
        <w:tc>
          <w:tcPr>
            <w:tcW w:type="dxa" w:w="6160"/>
            <w:tcBorders>
              <w:top w:val="single" w:color="B7C9BD" w:sz="4"/>
              <w:left w:val="single" w:color="B7C9BD" w:sz="4"/>
              <w:bottom w:val="single" w:color="B7C9BD" w:sz="4"/>
              <w:right w:val="single" w:color="B7C9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Dependencias con versiones mínimas</w:t>
            </w:r>
          </w:p>
        </w:tc>
      </w:tr>
    </w:tbl>
    <w:p>
      <w:pPr>
        <w:spacing w:after="200" w:before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Tabla 10. Scripts de soporte.</w:t>
      </w:r>
    </w:p>
    <w:p>
      <w:pPr>
        <w:pStyle w:val="Heading1"/>
      </w:pPr>
      <w:r>
        <w:rPr>
          <w:rFonts w:ascii="Arial" w:cs="Arial" w:eastAsia="Arial" w:hAnsi="Arial"/>
        </w:rPr>
        <w:t xml:space="preserve">10. Entorno de ejecución y reproducibilidad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El prototipo se ejecutó en Google Colab con GPU </w:t>
      </w:r>
      <w:r>
        <w:rPr>
          <w:rFonts w:ascii="Arial" w:cs="Arial" w:eastAsia="Arial" w:hAnsi="Arial"/>
          <w:highlight w:val="yellow"/>
          <w:highlightCs w:val="yellow"/>
        </w:rPr>
        <w:t xml:space="preserve">«GPU»</w:t>
      </w:r>
      <w:r>
        <w:rPr>
          <w:rFonts w:ascii="Arial" w:cs="Arial" w:eastAsia="Arial" w:hAnsi="Arial"/>
        </w:rPr>
        <w:t xml:space="preserve">, Python </w:t>
      </w:r>
      <w:r>
        <w:rPr>
          <w:rFonts w:ascii="Arial" w:cs="Arial" w:eastAsia="Arial" w:hAnsi="Arial"/>
          <w:highlight w:val="yellow"/>
          <w:highlightCs w:val="yellow"/>
        </w:rPr>
        <w:t xml:space="preserve">«PYTHON»</w:t>
      </w:r>
      <w:r>
        <w:rPr>
          <w:rFonts w:ascii="Arial" w:cs="Arial" w:eastAsia="Arial" w:hAnsi="Arial"/>
        </w:rPr>
        <w:t xml:space="preserve"> y transformers </w:t>
      </w:r>
      <w:r>
        <w:rPr>
          <w:rFonts w:ascii="Arial" w:cs="Arial" w:eastAsia="Arial" w:hAnsi="Arial"/>
          <w:highlight w:val="yellow"/>
          <w:highlightCs w:val="yellow"/>
        </w:rPr>
        <w:t xml:space="preserve">«TRANSFORMERS»</w:t>
      </w:r>
      <w:r>
        <w:rPr>
          <w:rFonts w:ascii="Arial" w:cs="Arial" w:eastAsia="Arial" w:hAnsi="Arial"/>
        </w:rPr>
        <w:t xml:space="preserve">. La reproducibilidad se garantiza con: semillas fijas (42) en random, NumPy y PyTorch; dataset regenerable; versiones registradas en results/entorno_versiones.txt; autenticación por Colab Secrets sin exponer el token; y un notebook organizado en 16 celdas numeradas que se ejecutan en orden.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El repositorio en GitHub sigue la estructura recomendada en el Tema 10: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analisis-sentimiento-farmacias/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 README.md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 requirements.txt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 data/  (resenas_farmacias.csv, diccionario_datos.md)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 notebooks/  (Act4_Comparacion_Modelos_HF.ipynb)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 src/  (generar_dataset.py, llenar_reporte.py, app_gradio.py)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 results/  (métricas, predicciones, gráficas, entorno)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└── docs/  (este reporte)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 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</w:rPr>
        <w:t xml:space="preserve">Repositorio:</w:t>
      </w:r>
      <w:r>
        <w:rPr>
          <w:rFonts w:ascii="Arial" w:cs="Arial" w:eastAsia="Arial" w:hAnsi="Arial"/>
        </w:rPr>
        <w:t xml:space="preserve"> https://github.com/&lt;usuario&gt;/analisis-sentimiento-farmacias</w:t>
      </w:r>
    </w:p>
    <w:p>
      <w:pPr>
        <w:pStyle w:val="Heading1"/>
      </w:pPr>
      <w:r>
        <w:rPr>
          <w:rFonts w:ascii="Arial" w:cs="Arial" w:eastAsia="Arial" w:hAnsi="Arial"/>
        </w:rPr>
        <w:t xml:space="preserve">11. Conclusiones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La comparación de cuatro modelos preentrenados con un dataset del propio caso de uso permitió elegir con evidencia y no por popularidad. El modelo recomendado es </w:t>
      </w:r>
      <w:r>
        <w:rPr>
          <w:rFonts w:ascii="Arial" w:cs="Arial" w:eastAsia="Arial" w:hAnsi="Arial"/>
          <w:highlight w:val="yellow"/>
          <w:highlightCs w:val="yellow"/>
        </w:rPr>
        <w:t xml:space="preserve">«REC_MODELO»</w:t>
      </w:r>
      <w:r>
        <w:rPr>
          <w:rFonts w:ascii="Arial" w:cs="Arial" w:eastAsia="Arial" w:hAnsi="Arial"/>
        </w:rPr>
        <w:t xml:space="preserve">; </w:t>
      </w:r>
      <w:r>
        <w:rPr>
          <w:rFonts w:ascii="Arial" w:cs="Arial" w:eastAsia="Arial" w:hAnsi="Arial"/>
          <w:highlight w:val="yellow"/>
          <w:highlightCs w:val="yellow"/>
        </w:rPr>
        <w:t xml:space="preserve">«FRASE_CUMPLE»</w:t>
      </w:r>
      <w:r>
        <w:rPr>
          <w:rFonts w:ascii="Arial" w:cs="Arial" w:eastAsia="Arial" w:hAnsi="Arial"/>
        </w:rPr>
        <w:t xml:space="preserve"> Esto confirma la idea central del Tema 9: el mejor modelo es el que equilibra precisión, eficiencia y viabilidad para el problema concreto, no el más grande ni el más descargado.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El análisis también delimita el alcance del prototipo: las matrices de confusión y el análisis por casos difíciles (celdas 10 y 12 del notebook) muestran dónde se concentran los errores, y el carácter sintético del dataset obliga a validar con reseñas reales antes de producción. La documentación en GitHub, los scripts reproducibles y la regla de decisión explícita dejan el prototipo listo para que otro equipo lo vuelva a ejecutar, lo audite o lo extienda, que es la condición para que evolucione hacia una solución mantenible.</w:t>
      </w:r>
    </w:p>
    <w:p>
      <w:pPr>
        <w:pStyle w:val="Heading1"/>
      </w:pPr>
      <w:r>
        <w:rPr>
          <w:rFonts w:ascii="Arial" w:cs="Arial" w:eastAsia="Arial" w:hAnsi="Arial"/>
        </w:rPr>
        <w:t xml:space="preserve">Referencias</w:t>
      </w:r>
    </w:p>
    <w:p>
      <w:pPr>
        <w:spacing w:after="100"/>
        <w:ind w:left="720" w:hanging="720"/>
      </w:pPr>
      <w:r>
        <w:rPr>
          <w:rFonts w:ascii="Arial" w:cs="Arial" w:eastAsia="Arial" w:hAnsi="Arial"/>
          <w:sz w:val="20"/>
          <w:szCs w:val="20"/>
        </w:rPr>
        <w:t xml:space="preserve">Barbieri, F., Espinosa Anke, L., y Camacho-Collados, J. (2022). XLM-T: Multilingual language models in Twitter for sentiment analysis and beyond. En Proceedings of LREC 2022. https://huggingface.co/cardiffnlp/twitter-xlm-roberta-base-sentiment</w:t>
      </w:r>
    </w:p>
    <w:p>
      <w:pPr>
        <w:spacing w:after="100"/>
        <w:ind w:left="720" w:hanging="720"/>
      </w:pPr>
      <w:r>
        <w:rPr>
          <w:rFonts w:ascii="Arial" w:cs="Arial" w:eastAsia="Arial" w:hAnsi="Arial"/>
          <w:sz w:val="20"/>
          <w:szCs w:val="20"/>
        </w:rPr>
        <w:t xml:space="preserve">Fourrier, C., Frere, T., Penedo, G., y Wolf, T. (2025). The LLM Evaluation Guidebook. https://huggingface.co/spaces/OpenEvals/evaluation-guidebook</w:t>
      </w:r>
    </w:p>
    <w:p>
      <w:pPr>
        <w:spacing w:after="100"/>
        <w:ind w:left="720" w:hanging="720"/>
      </w:pPr>
      <w:r>
        <w:rPr>
          <w:rFonts w:ascii="Arial" w:cs="Arial" w:eastAsia="Arial" w:hAnsi="Arial"/>
          <w:sz w:val="20"/>
          <w:szCs w:val="20"/>
        </w:rPr>
        <w:t xml:space="preserve">GeeksforGeeks. (2026). F1 Score in Machine Learning. https://www.geeksforgeeks.org/machine-learning/f1-score-in-machine-learning/</w:t>
      </w:r>
    </w:p>
    <w:p>
      <w:pPr>
        <w:spacing w:after="100"/>
        <w:ind w:left="720" w:hanging="720"/>
      </w:pPr>
      <w:r>
        <w:rPr>
          <w:rFonts w:ascii="Arial" w:cs="Arial" w:eastAsia="Arial" w:hAnsi="Arial"/>
          <w:sz w:val="20"/>
          <w:szCs w:val="20"/>
        </w:rPr>
        <w:t xml:space="preserve">Hugging Face. (s.f.). The AI community building the future. https://huggingface.co/</w:t>
      </w:r>
    </w:p>
    <w:p>
      <w:pPr>
        <w:spacing w:after="100"/>
        <w:ind w:left="720" w:hanging="720"/>
      </w:pPr>
      <w:r>
        <w:rPr>
          <w:rFonts w:ascii="Arial" w:cs="Arial" w:eastAsia="Arial" w:hAnsi="Arial"/>
          <w:sz w:val="20"/>
          <w:szCs w:val="20"/>
        </w:rPr>
        <w:t xml:space="preserve">Muñoz, R. (2023). Accuracy. https://foqum.io/es/termino/accuracy-exactitud/</w:t>
      </w:r>
    </w:p>
    <w:p>
      <w:pPr>
        <w:spacing w:after="100"/>
        <w:ind w:left="720" w:hanging="720"/>
      </w:pPr>
      <w:r>
        <w:rPr>
          <w:rFonts w:ascii="Arial" w:cs="Arial" w:eastAsia="Arial" w:hAnsi="Arial"/>
          <w:sz w:val="20"/>
          <w:szCs w:val="20"/>
        </w:rPr>
        <w:t xml:space="preserve">NLP Town. (s.f.). bert-base-multilingual-uncased-sentiment [Model card]. https://huggingface.co/nlptown/bert-base-multilingual-uncased-sentiment</w:t>
      </w:r>
    </w:p>
    <w:p>
      <w:pPr>
        <w:spacing w:after="100"/>
        <w:ind w:left="720" w:hanging="720"/>
      </w:pPr>
      <w:r>
        <w:rPr>
          <w:rFonts w:ascii="Arial" w:cs="Arial" w:eastAsia="Arial" w:hAnsi="Arial"/>
          <w:sz w:val="20"/>
          <w:szCs w:val="20"/>
        </w:rPr>
        <w:t xml:space="preserve">Pérez, J. M., Furman, D. A., Alonso Alemany, L., y Luque, F. (2022). RoBERTuito: A pre-trained language model for social media text in Spanish. En Proceedings of LREC 2022. https://huggingface.co/pysentimiento/robertuito-sentiment-analysis</w:t>
      </w:r>
    </w:p>
    <w:p>
      <w:pPr>
        <w:spacing w:after="100"/>
        <w:ind w:left="720" w:hanging="720"/>
      </w:pPr>
      <w:r>
        <w:rPr>
          <w:rFonts w:ascii="Arial" w:cs="Arial" w:eastAsia="Arial" w:hAnsi="Arial"/>
          <w:sz w:val="20"/>
          <w:szCs w:val="20"/>
        </w:rPr>
        <w:t xml:space="preserve">Stryker, C. (s.f.). What is a pretrained model? IBM. https://www.ibm.com/think/topics/pretrained-model</w:t>
      </w:r>
    </w:p>
    <w:p>
      <w:pPr>
        <w:spacing w:after="100"/>
        <w:ind w:left="720" w:hanging="720"/>
      </w:pPr>
      <w:r>
        <w:rPr>
          <w:rFonts w:ascii="Arial" w:cs="Arial" w:eastAsia="Arial" w:hAnsi="Arial"/>
          <w:sz w:val="20"/>
          <w:szCs w:val="20"/>
        </w:rPr>
        <w:t xml:space="preserve">Universidad Tecmilenio. (2026). Tema 9. Selección de modelos preentrenados [Material del curso].</w:t>
      </w:r>
    </w:p>
    <w:p>
      <w:pPr>
        <w:spacing w:after="100"/>
        <w:ind w:left="720" w:hanging="720"/>
      </w:pPr>
      <w:r>
        <w:rPr>
          <w:rFonts w:ascii="Arial" w:cs="Arial" w:eastAsia="Arial" w:hAnsi="Arial"/>
          <w:sz w:val="20"/>
          <w:szCs w:val="20"/>
        </w:rPr>
        <w:t xml:space="preserve">Universidad Tecmilenio. (2026). Tema 10. Prototipado rápido y documentación técnica [Material del curso].</w:t>
      </w:r>
    </w:p>
    <w:p>
      <w:pPr>
        <w:spacing w:after="100"/>
        <w:ind w:left="720" w:hanging="720"/>
      </w:pPr>
      <w:r>
        <w:rPr>
          <w:rFonts w:ascii="Arial" w:cs="Arial" w:eastAsia="Arial" w:hAnsi="Arial"/>
          <w:sz w:val="20"/>
          <w:szCs w:val="20"/>
        </w:rPr>
        <w:t xml:space="preserve">Yuan, L. (2023). distilbert-base-multilingual-cased-sentiments-student [Model card]. https://huggingface.co/lxyuan/distilbert-base-multilingual-cased-sentiments-student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6E43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333333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Actividad 4 - Análisis comparativo de modelos</dc:title>
  <dc:creator>José Gerardo Ortiz Leñero</dc:creator>
  <cp:lastModifiedBy>Un-named</cp:lastModifiedBy>
  <cp:revision>1</cp:revision>
  <dcterms:created xsi:type="dcterms:W3CDTF">2026-10-08T17:38:30.752Z</dcterms:created>
  <dcterms:modified xsi:type="dcterms:W3CDTF">2026-10-08T17:38:30.752Z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