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02B" w:rsidRDefault="00FB002B" w:rsidP="00FB002B">
      <w:pPr>
        <w:pStyle w:val="1"/>
        <w:shd w:val="clear" w:color="auto" w:fill="FFFFFF"/>
        <w:spacing w:before="750" w:after="750"/>
        <w:rPr>
          <w:rFonts w:ascii="Arial" w:hAnsi="Arial" w:cs="Arial"/>
          <w:color w:val="000000"/>
          <w:sz w:val="60"/>
          <w:szCs w:val="60"/>
        </w:rPr>
      </w:pPr>
      <w:r>
        <w:rPr>
          <w:rFonts w:ascii="Arial" w:hAnsi="Arial" w:cs="Arial"/>
          <w:b/>
          <w:bCs/>
          <w:color w:val="000000"/>
          <w:sz w:val="60"/>
          <w:szCs w:val="60"/>
        </w:rPr>
        <w:t xml:space="preserve">Сервер </w:t>
      </w:r>
      <w:proofErr w:type="spellStart"/>
      <w:r>
        <w:rPr>
          <w:rFonts w:ascii="Arial" w:hAnsi="Arial" w:cs="Arial"/>
          <w:b/>
          <w:bCs/>
          <w:color w:val="000000"/>
          <w:sz w:val="60"/>
          <w:szCs w:val="60"/>
        </w:rPr>
        <w:t>Dell</w:t>
      </w:r>
      <w:proofErr w:type="spellEnd"/>
      <w:r>
        <w:rPr>
          <w:rFonts w:ascii="Arial" w:hAnsi="Arial" w:cs="Arial"/>
          <w:b/>
          <w:bCs/>
          <w:color w:val="000000"/>
          <w:sz w:val="60"/>
          <w:szCs w:val="60"/>
        </w:rPr>
        <w:t xml:space="preserve"> </w:t>
      </w:r>
      <w:proofErr w:type="spellStart"/>
      <w:r>
        <w:rPr>
          <w:rFonts w:ascii="Arial" w:hAnsi="Arial" w:cs="Arial"/>
          <w:b/>
          <w:bCs/>
          <w:color w:val="000000"/>
          <w:sz w:val="60"/>
          <w:szCs w:val="60"/>
        </w:rPr>
        <w:t>PowerEdge</w:t>
      </w:r>
      <w:proofErr w:type="spellEnd"/>
      <w:r>
        <w:rPr>
          <w:rFonts w:ascii="Arial" w:hAnsi="Arial" w:cs="Arial"/>
          <w:b/>
          <w:bCs/>
          <w:color w:val="000000"/>
          <w:sz w:val="60"/>
          <w:szCs w:val="60"/>
        </w:rPr>
        <w:t xml:space="preserve"> T630</w:t>
      </w:r>
    </w:p>
    <w:p w:rsidR="00FB002B" w:rsidRDefault="00FB002B" w:rsidP="00FB002B">
      <w:pPr>
        <w:shd w:val="clear" w:color="auto" w:fill="FFFFFF"/>
        <w:spacing w:after="0" w:line="240" w:lineRule="auto"/>
        <w:outlineLvl w:val="2"/>
        <w:rPr>
          <w:rFonts w:ascii="Arial" w:eastAsia="Times New Roman" w:hAnsi="Arial" w:cs="Arial"/>
          <w:b/>
          <w:bCs/>
          <w:color w:val="000000"/>
          <w:sz w:val="27"/>
          <w:szCs w:val="27"/>
          <w:bdr w:val="none" w:sz="0" w:space="0" w:color="auto" w:frame="1"/>
          <w:lang w:eastAsia="ru-RU"/>
        </w:rPr>
      </w:pPr>
      <w:bookmarkStart w:id="0" w:name="_GoBack"/>
      <w:bookmarkEnd w:id="0"/>
    </w:p>
    <w:p w:rsidR="00FB002B" w:rsidRPr="00FB002B" w:rsidRDefault="00FB002B" w:rsidP="00FB002B">
      <w:pPr>
        <w:shd w:val="clear" w:color="auto" w:fill="FFFFFF"/>
        <w:spacing w:after="0" w:line="240" w:lineRule="auto"/>
        <w:outlineLvl w:val="2"/>
        <w:rPr>
          <w:rFonts w:ascii="Arial" w:eastAsia="Times New Roman" w:hAnsi="Arial" w:cs="Arial"/>
          <w:b/>
          <w:bCs/>
          <w:color w:val="000000"/>
          <w:sz w:val="27"/>
          <w:szCs w:val="27"/>
          <w:lang w:eastAsia="ru-RU"/>
        </w:rPr>
      </w:pPr>
      <w:r w:rsidRPr="00FB002B">
        <w:rPr>
          <w:rFonts w:ascii="Arial" w:eastAsia="Times New Roman" w:hAnsi="Arial" w:cs="Arial"/>
          <w:b/>
          <w:bCs/>
          <w:color w:val="000000"/>
          <w:sz w:val="27"/>
          <w:szCs w:val="27"/>
          <w:bdr w:val="none" w:sz="0" w:space="0" w:color="auto" w:frame="1"/>
          <w:lang w:eastAsia="ru-RU"/>
        </w:rPr>
        <w:t xml:space="preserve">Настройка сервера в корпусе </w:t>
      </w:r>
      <w:proofErr w:type="spellStart"/>
      <w:r w:rsidRPr="00FB002B">
        <w:rPr>
          <w:rFonts w:ascii="Arial" w:eastAsia="Times New Roman" w:hAnsi="Arial" w:cs="Arial"/>
          <w:b/>
          <w:bCs/>
          <w:color w:val="000000"/>
          <w:sz w:val="27"/>
          <w:szCs w:val="27"/>
          <w:bdr w:val="none" w:sz="0" w:space="0" w:color="auto" w:frame="1"/>
          <w:lang w:eastAsia="ru-RU"/>
        </w:rPr>
        <w:t>Tower</w:t>
      </w:r>
      <w:proofErr w:type="spellEnd"/>
      <w:r w:rsidRPr="00FB002B">
        <w:rPr>
          <w:rFonts w:ascii="Arial" w:eastAsia="Times New Roman" w:hAnsi="Arial" w:cs="Arial"/>
          <w:b/>
          <w:bCs/>
          <w:color w:val="000000"/>
          <w:sz w:val="27"/>
          <w:szCs w:val="27"/>
          <w:bdr w:val="none" w:sz="0" w:space="0" w:color="auto" w:frame="1"/>
          <w:lang w:eastAsia="ru-RU"/>
        </w:rPr>
        <w:t xml:space="preserve"> с учетом рабочих нагрузок</w:t>
      </w:r>
    </w:p>
    <w:p w:rsidR="00FB002B" w:rsidRPr="00FB002B" w:rsidRDefault="00FB002B" w:rsidP="00FB002B">
      <w:pPr>
        <w:spacing w:after="0" w:line="240" w:lineRule="auto"/>
        <w:rPr>
          <w:rFonts w:ascii="Times New Roman" w:eastAsia="Times New Roman" w:hAnsi="Times New Roman" w:cs="Times New Roman"/>
          <w:sz w:val="24"/>
          <w:szCs w:val="24"/>
          <w:lang w:eastAsia="ru-RU"/>
        </w:rPr>
      </w:pPr>
      <w:r w:rsidRPr="00FB002B">
        <w:rPr>
          <w:rFonts w:ascii="Arial" w:eastAsia="Times New Roman" w:hAnsi="Arial" w:cs="Arial"/>
          <w:color w:val="000000"/>
          <w:sz w:val="21"/>
          <w:szCs w:val="21"/>
          <w:shd w:val="clear" w:color="auto" w:fill="FFFFFF"/>
          <w:lang w:eastAsia="ru-RU"/>
        </w:rPr>
        <w:t>Ускорьте обработку ресурсоемких рабочих нагрузок благодаря мощному и гибкому двухпроцессорному серверу </w:t>
      </w:r>
      <w:proofErr w:type="spellStart"/>
      <w:r w:rsidRPr="00FB002B">
        <w:rPr>
          <w:rFonts w:ascii="Arial" w:eastAsia="Times New Roman" w:hAnsi="Arial" w:cs="Arial"/>
          <w:b/>
          <w:bCs/>
          <w:color w:val="000000"/>
          <w:sz w:val="21"/>
          <w:szCs w:val="21"/>
          <w:bdr w:val="none" w:sz="0" w:space="0" w:color="auto" w:frame="1"/>
          <w:shd w:val="clear" w:color="auto" w:fill="FFFFFF"/>
          <w:lang w:eastAsia="ru-RU"/>
        </w:rPr>
        <w:t>Dell</w:t>
      </w:r>
      <w:proofErr w:type="spellEnd"/>
      <w:r w:rsidRPr="00FB002B">
        <w:rPr>
          <w:rFonts w:ascii="Arial" w:eastAsia="Times New Roman" w:hAnsi="Arial" w:cs="Arial"/>
          <w:b/>
          <w:bCs/>
          <w:color w:val="000000"/>
          <w:sz w:val="21"/>
          <w:szCs w:val="21"/>
          <w:bdr w:val="none" w:sz="0" w:space="0" w:color="auto" w:frame="1"/>
          <w:shd w:val="clear" w:color="auto" w:fill="FFFFFF"/>
          <w:lang w:eastAsia="ru-RU"/>
        </w:rPr>
        <w:t xml:space="preserve"> </w:t>
      </w:r>
      <w:proofErr w:type="spellStart"/>
      <w:r w:rsidRPr="00FB002B">
        <w:rPr>
          <w:rFonts w:ascii="Arial" w:eastAsia="Times New Roman" w:hAnsi="Arial" w:cs="Arial"/>
          <w:b/>
          <w:bCs/>
          <w:color w:val="000000"/>
          <w:sz w:val="21"/>
          <w:szCs w:val="21"/>
          <w:bdr w:val="none" w:sz="0" w:space="0" w:color="auto" w:frame="1"/>
          <w:shd w:val="clear" w:color="auto" w:fill="FFFFFF"/>
          <w:lang w:eastAsia="ru-RU"/>
        </w:rPr>
        <w:t>PowerEdge</w:t>
      </w:r>
      <w:proofErr w:type="spellEnd"/>
      <w:r w:rsidRPr="00FB002B">
        <w:rPr>
          <w:rFonts w:ascii="Arial" w:eastAsia="Times New Roman" w:hAnsi="Arial" w:cs="Arial"/>
          <w:b/>
          <w:bCs/>
          <w:color w:val="000000"/>
          <w:sz w:val="21"/>
          <w:szCs w:val="21"/>
          <w:bdr w:val="none" w:sz="0" w:space="0" w:color="auto" w:frame="1"/>
          <w:shd w:val="clear" w:color="auto" w:fill="FFFFFF"/>
          <w:lang w:eastAsia="ru-RU"/>
        </w:rPr>
        <w:t xml:space="preserve"> T630</w:t>
      </w:r>
      <w:r w:rsidRPr="00FB002B">
        <w:rPr>
          <w:rFonts w:ascii="Arial" w:eastAsia="Times New Roman" w:hAnsi="Arial" w:cs="Arial"/>
          <w:color w:val="000000"/>
          <w:sz w:val="21"/>
          <w:szCs w:val="21"/>
          <w:bdr w:val="none" w:sz="0" w:space="0" w:color="auto" w:frame="1"/>
          <w:shd w:val="clear" w:color="auto" w:fill="FFFFFF"/>
          <w:lang w:eastAsia="ru-RU"/>
        </w:rPr>
        <w:t xml:space="preserve"> в корпусе </w:t>
      </w:r>
      <w:proofErr w:type="spellStart"/>
      <w:r w:rsidRPr="00FB002B">
        <w:rPr>
          <w:rFonts w:ascii="Arial" w:eastAsia="Times New Roman" w:hAnsi="Arial" w:cs="Arial"/>
          <w:color w:val="000000"/>
          <w:sz w:val="21"/>
          <w:szCs w:val="21"/>
          <w:bdr w:val="none" w:sz="0" w:space="0" w:color="auto" w:frame="1"/>
          <w:shd w:val="clear" w:color="auto" w:fill="FFFFFF"/>
          <w:lang w:eastAsia="ru-RU"/>
        </w:rPr>
        <w:t>Tower</w:t>
      </w:r>
      <w:proofErr w:type="spellEnd"/>
      <w:r w:rsidRPr="00FB002B">
        <w:rPr>
          <w:rFonts w:ascii="Arial" w:eastAsia="Times New Roman" w:hAnsi="Arial" w:cs="Arial"/>
          <w:color w:val="000000"/>
          <w:sz w:val="21"/>
          <w:szCs w:val="21"/>
          <w:bdr w:val="none" w:sz="0" w:space="0" w:color="auto" w:frame="1"/>
          <w:shd w:val="clear" w:color="auto" w:fill="FFFFFF"/>
          <w:lang w:eastAsia="ru-RU"/>
        </w:rPr>
        <w:t xml:space="preserve">, который относится к тринадцатому поколению серверов </w:t>
      </w:r>
      <w:proofErr w:type="spellStart"/>
      <w:r w:rsidRPr="00FB002B">
        <w:rPr>
          <w:rFonts w:ascii="Arial" w:eastAsia="Times New Roman" w:hAnsi="Arial" w:cs="Arial"/>
          <w:color w:val="000000"/>
          <w:sz w:val="21"/>
          <w:szCs w:val="21"/>
          <w:bdr w:val="none" w:sz="0" w:space="0" w:color="auto" w:frame="1"/>
          <w:shd w:val="clear" w:color="auto" w:fill="FFFFFF"/>
          <w:lang w:eastAsia="ru-RU"/>
        </w:rPr>
        <w:t>PowerEdge</w:t>
      </w:r>
      <w:proofErr w:type="spellEnd"/>
      <w:r w:rsidRPr="00FB002B">
        <w:rPr>
          <w:rFonts w:ascii="Arial" w:eastAsia="Times New Roman" w:hAnsi="Arial" w:cs="Arial"/>
          <w:color w:val="000000"/>
          <w:sz w:val="21"/>
          <w:szCs w:val="21"/>
          <w:bdr w:val="none" w:sz="0" w:space="0" w:color="auto" w:frame="1"/>
          <w:shd w:val="clear" w:color="auto" w:fill="FFFFFF"/>
          <w:lang w:eastAsia="ru-RU"/>
        </w:rPr>
        <w:t>.</w:t>
      </w:r>
    </w:p>
    <w:p w:rsidR="00FB002B" w:rsidRPr="00FB002B" w:rsidRDefault="00FB002B" w:rsidP="00FB002B">
      <w:pPr>
        <w:shd w:val="clear" w:color="auto" w:fill="FFFFFF"/>
        <w:spacing w:before="240" w:after="240" w:line="240" w:lineRule="auto"/>
        <w:outlineLvl w:val="3"/>
        <w:rPr>
          <w:rFonts w:ascii="Arial" w:eastAsia="Times New Roman" w:hAnsi="Arial" w:cs="Arial"/>
          <w:color w:val="000000"/>
          <w:sz w:val="27"/>
          <w:szCs w:val="27"/>
          <w:lang w:eastAsia="ru-RU"/>
        </w:rPr>
      </w:pPr>
      <w:r w:rsidRPr="00FB002B">
        <w:rPr>
          <w:rFonts w:ascii="Arial" w:eastAsia="Times New Roman" w:hAnsi="Arial" w:cs="Arial"/>
          <w:color w:val="000000"/>
          <w:sz w:val="27"/>
          <w:szCs w:val="27"/>
          <w:lang w:eastAsia="ru-RU"/>
        </w:rPr>
        <w:t>Дополнительная емкость, беспрецедентные возможности.</w:t>
      </w:r>
    </w:p>
    <w:p w:rsidR="00FB002B" w:rsidRPr="00FB002B" w:rsidRDefault="00FB002B" w:rsidP="00FB002B">
      <w:pPr>
        <w:numPr>
          <w:ilvl w:val="0"/>
          <w:numId w:val="1"/>
        </w:numPr>
        <w:shd w:val="clear" w:color="auto" w:fill="FFFFFF"/>
        <w:spacing w:after="0" w:line="240" w:lineRule="auto"/>
        <w:ind w:left="240" w:right="24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Благодаря тому, что число поддерживаемых </w:t>
      </w:r>
      <w:proofErr w:type="spellStart"/>
      <w:r w:rsidRPr="00FB002B">
        <w:rPr>
          <w:rFonts w:ascii="Arial" w:eastAsia="Times New Roman" w:hAnsi="Arial" w:cs="Arial"/>
          <w:b/>
          <w:bCs/>
          <w:color w:val="000000"/>
          <w:sz w:val="21"/>
          <w:szCs w:val="21"/>
          <w:bdr w:val="none" w:sz="0" w:space="0" w:color="auto" w:frame="1"/>
          <w:lang w:eastAsia="ru-RU"/>
        </w:rPr>
        <w:t>Dell</w:t>
      </w:r>
      <w:proofErr w:type="spellEnd"/>
      <w:r w:rsidRPr="00FB002B">
        <w:rPr>
          <w:rFonts w:ascii="Arial" w:eastAsia="Times New Roman" w:hAnsi="Arial" w:cs="Arial"/>
          <w:b/>
          <w:bCs/>
          <w:color w:val="000000"/>
          <w:sz w:val="21"/>
          <w:szCs w:val="21"/>
          <w:bdr w:val="none" w:sz="0" w:space="0" w:color="auto" w:frame="1"/>
          <w:lang w:eastAsia="ru-RU"/>
        </w:rPr>
        <w:t xml:space="preserve"> </w:t>
      </w:r>
      <w:proofErr w:type="spellStart"/>
      <w:r w:rsidRPr="00FB002B">
        <w:rPr>
          <w:rFonts w:ascii="Arial" w:eastAsia="Times New Roman" w:hAnsi="Arial" w:cs="Arial"/>
          <w:b/>
          <w:bCs/>
          <w:color w:val="000000"/>
          <w:sz w:val="21"/>
          <w:szCs w:val="21"/>
          <w:bdr w:val="none" w:sz="0" w:space="0" w:color="auto" w:frame="1"/>
          <w:lang w:eastAsia="ru-RU"/>
        </w:rPr>
        <w:t>PowerEdge</w:t>
      </w:r>
      <w:proofErr w:type="spellEnd"/>
      <w:r w:rsidRPr="00FB002B">
        <w:rPr>
          <w:rFonts w:ascii="Arial" w:eastAsia="Times New Roman" w:hAnsi="Arial" w:cs="Arial"/>
          <w:b/>
          <w:bCs/>
          <w:color w:val="000000"/>
          <w:sz w:val="21"/>
          <w:szCs w:val="21"/>
          <w:bdr w:val="none" w:sz="0" w:space="0" w:color="auto" w:frame="1"/>
          <w:lang w:eastAsia="ru-RU"/>
        </w:rPr>
        <w:t xml:space="preserve"> T630</w:t>
      </w:r>
      <w:r w:rsidRPr="00FB002B">
        <w:rPr>
          <w:rFonts w:ascii="Arial" w:eastAsia="Times New Roman" w:hAnsi="Arial" w:cs="Arial"/>
          <w:color w:val="000000"/>
          <w:sz w:val="21"/>
          <w:szCs w:val="21"/>
          <w:bdr w:val="none" w:sz="0" w:space="0" w:color="auto" w:frame="1"/>
          <w:lang w:eastAsia="ru-RU"/>
        </w:rPr>
        <w:t> жестких дисков до 50% больше, чем у предыдущих поколений, появляются новые возможности для предприятий малого и среднего бизнеса и удаленных офисов, применяющих почту и службы обмена сообщениями, системы обработки медицинских изображений, виртуализацию серверов и настольных систем, а также экономную графическую визуализацию. Поддерживая до 32 2,5-дюймовых или 18 3,5-дюймовых жестких дисков, T630 способен хранить больше почтовых ящиков более крупного размера. Это позволяет значительно снизить затраты на почтовый ящик. Гибкие конфигурации систем хранения позволяют вам учитывать точные требования рабочей нагрузки. В то же время на диске достаточно места, и это дает возможность выполнять экономичное расширение в пределах сервера.</w:t>
      </w:r>
    </w:p>
    <w:p w:rsidR="00FB002B" w:rsidRPr="00FB002B" w:rsidRDefault="00FB002B" w:rsidP="00FB002B">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четырех твердотельных накопителей </w:t>
      </w:r>
      <w:proofErr w:type="spellStart"/>
      <w:r w:rsidRPr="00FB002B">
        <w:rPr>
          <w:rFonts w:ascii="Arial" w:eastAsia="Times New Roman" w:hAnsi="Arial" w:cs="Arial"/>
          <w:color w:val="000000"/>
          <w:sz w:val="21"/>
          <w:szCs w:val="21"/>
          <w:lang w:eastAsia="ru-RU"/>
        </w:rPr>
        <w:t>Express</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Flash</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NVMe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и опциональный RAID-контроллер </w:t>
      </w:r>
      <w:proofErr w:type="spellStart"/>
      <w:r w:rsidRPr="00FB002B">
        <w:rPr>
          <w:rFonts w:ascii="Arial" w:eastAsia="Times New Roman" w:hAnsi="Arial" w:cs="Arial"/>
          <w:color w:val="000000"/>
          <w:sz w:val="21"/>
          <w:szCs w:val="21"/>
          <w:lang w:eastAsia="ru-RU"/>
        </w:rPr>
        <w:t>PowerEdge</w:t>
      </w:r>
      <w:proofErr w:type="spellEnd"/>
      <w:r w:rsidRPr="00FB002B">
        <w:rPr>
          <w:rFonts w:ascii="Arial" w:eastAsia="Times New Roman" w:hAnsi="Arial" w:cs="Arial"/>
          <w:color w:val="000000"/>
          <w:sz w:val="21"/>
          <w:szCs w:val="21"/>
          <w:lang w:eastAsia="ru-RU"/>
        </w:rPr>
        <w:t xml:space="preserve"> (PERC9) объемом 12 Гбит делают </w:t>
      </w:r>
      <w:proofErr w:type="spellStart"/>
      <w:r w:rsidRPr="00FB002B">
        <w:rPr>
          <w:rFonts w:ascii="Arial" w:eastAsia="Times New Roman" w:hAnsi="Arial" w:cs="Arial"/>
          <w:color w:val="000000"/>
          <w:sz w:val="21"/>
          <w:szCs w:val="21"/>
          <w:lang w:eastAsia="ru-RU"/>
        </w:rPr>
        <w:t>PowerEdge</w:t>
      </w:r>
      <w:proofErr w:type="spellEnd"/>
      <w:r w:rsidRPr="00FB002B">
        <w:rPr>
          <w:rFonts w:ascii="Arial" w:eastAsia="Times New Roman" w:hAnsi="Arial" w:cs="Arial"/>
          <w:color w:val="000000"/>
          <w:sz w:val="21"/>
          <w:szCs w:val="21"/>
          <w:lang w:eastAsia="ru-RU"/>
        </w:rPr>
        <w:t xml:space="preserve"> T630 идеальным выбором для широкого спектра ресурсоемких нагрузок, требующих много операций ввода-вывода в секунду. В том числе речь идет о базах данных, средствах планирования ресурсов предприятия (ERP) и поддержке принятия решений. Для увеличения скорости приложений T630 может использовать преимущества дополнительного </w:t>
      </w:r>
      <w:proofErr w:type="spellStart"/>
      <w:r w:rsidRPr="00FB002B">
        <w:rPr>
          <w:rFonts w:ascii="Arial" w:eastAsia="Times New Roman" w:hAnsi="Arial" w:cs="Arial"/>
          <w:color w:val="000000"/>
          <w:sz w:val="21"/>
          <w:szCs w:val="21"/>
          <w:lang w:eastAsia="ru-RU"/>
        </w:rPr>
        <w:t>Dell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Fluid</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Cache</w:t>
      </w:r>
      <w:proofErr w:type="spellEnd"/>
      <w:r w:rsidRPr="00FB002B">
        <w:rPr>
          <w:rFonts w:ascii="Arial" w:eastAsia="Times New Roman" w:hAnsi="Arial" w:cs="Arial"/>
          <w:color w:val="000000"/>
          <w:sz w:val="21"/>
          <w:szCs w:val="21"/>
          <w:lang w:eastAsia="ru-RU"/>
        </w:rPr>
        <w:t xml:space="preserve"> для SAN и технологии ускорения работы приложений </w:t>
      </w:r>
      <w:proofErr w:type="spellStart"/>
      <w:r w:rsidRPr="00FB002B">
        <w:rPr>
          <w:rFonts w:ascii="Arial" w:eastAsia="Times New Roman" w:hAnsi="Arial" w:cs="Arial"/>
          <w:color w:val="000000"/>
          <w:sz w:val="21"/>
          <w:szCs w:val="21"/>
          <w:lang w:eastAsia="ru-RU"/>
        </w:rPr>
        <w:t>SanDisk</w:t>
      </w:r>
      <w:proofErr w:type="spellEnd"/>
      <w:r w:rsidRPr="00FB002B">
        <w:rPr>
          <w:rFonts w:ascii="Arial" w:eastAsia="Times New Roman" w:hAnsi="Arial" w:cs="Arial"/>
          <w:color w:val="000000"/>
          <w:sz w:val="21"/>
          <w:szCs w:val="21"/>
          <w:lang w:eastAsia="ru-RU"/>
        </w:rPr>
        <w:t xml:space="preserve"> DAS </w:t>
      </w:r>
      <w:proofErr w:type="spellStart"/>
      <w:r w:rsidRPr="00FB002B">
        <w:rPr>
          <w:rFonts w:ascii="Arial" w:eastAsia="Times New Roman" w:hAnsi="Arial" w:cs="Arial"/>
          <w:color w:val="000000"/>
          <w:sz w:val="21"/>
          <w:szCs w:val="21"/>
          <w:lang w:eastAsia="ru-RU"/>
        </w:rPr>
        <w:t>Cache</w:t>
      </w:r>
      <w:proofErr w:type="spellEnd"/>
      <w:r w:rsidRPr="00FB002B">
        <w:rPr>
          <w:rFonts w:ascii="Arial" w:eastAsia="Times New Roman" w:hAnsi="Arial" w:cs="Arial"/>
          <w:color w:val="000000"/>
          <w:sz w:val="21"/>
          <w:szCs w:val="21"/>
          <w:lang w:eastAsia="ru-RU"/>
        </w:rPr>
        <w:t xml:space="preserve">. Многоуровневое хранение в пределах сервера и многорежимные варианты RAID также способствуют оптимизации виртуальной системы хранения данных для </w:t>
      </w:r>
      <w:proofErr w:type="spellStart"/>
      <w:r w:rsidRPr="00FB002B">
        <w:rPr>
          <w:rFonts w:ascii="Arial" w:eastAsia="Times New Roman" w:hAnsi="Arial" w:cs="Arial"/>
          <w:color w:val="000000"/>
          <w:sz w:val="21"/>
          <w:szCs w:val="21"/>
          <w:lang w:eastAsia="ru-RU"/>
        </w:rPr>
        <w:t>VMware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vSAN</w:t>
      </w:r>
      <w:proofErr w:type="spellEnd"/>
      <w:r w:rsidRPr="00FB002B">
        <w:rPr>
          <w:rFonts w:ascii="Arial" w:eastAsia="Times New Roman" w:hAnsi="Arial" w:cs="Arial"/>
          <w:color w:val="000000"/>
          <w:sz w:val="21"/>
          <w:szCs w:val="21"/>
          <w:lang w:eastAsia="ru-RU"/>
        </w:rPr>
        <w:t xml:space="preserve">™ и </w:t>
      </w:r>
      <w:proofErr w:type="spellStart"/>
      <w:r w:rsidRPr="00FB002B">
        <w:rPr>
          <w:rFonts w:ascii="Arial" w:eastAsia="Times New Roman" w:hAnsi="Arial" w:cs="Arial"/>
          <w:color w:val="000000"/>
          <w:sz w:val="21"/>
          <w:szCs w:val="21"/>
          <w:lang w:eastAsia="ru-RU"/>
        </w:rPr>
        <w:t>Microsoft</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Storage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Spaces</w:t>
      </w:r>
      <w:proofErr w:type="spellEnd"/>
      <w:r w:rsidRPr="00FB002B">
        <w:rPr>
          <w:rFonts w:ascii="Arial" w:eastAsia="Times New Roman" w:hAnsi="Arial" w:cs="Arial"/>
          <w:color w:val="000000"/>
          <w:sz w:val="21"/>
          <w:szCs w:val="21"/>
          <w:lang w:eastAsia="ru-RU"/>
        </w:rPr>
        <w:t>.</w:t>
      </w:r>
    </w:p>
    <w:p w:rsidR="00FB002B" w:rsidRPr="00FB002B" w:rsidRDefault="00FB002B" w:rsidP="00FB002B">
      <w:pPr>
        <w:numPr>
          <w:ilvl w:val="0"/>
          <w:numId w:val="1"/>
        </w:numPr>
        <w:shd w:val="clear" w:color="auto" w:fill="FFFFFF"/>
        <w:spacing w:before="72" w:after="72" w:line="240" w:lineRule="auto"/>
        <w:ind w:left="240" w:right="24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Поддержка до четырех опциональных ускорителей графических процессоров обеспечивает дополнительную производительность и возможности во всех сферах применения: от визуализации графики до внедрения виртуальных настольных компьютеров.</w:t>
      </w:r>
    </w:p>
    <w:p w:rsidR="00471BBF" w:rsidRDefault="00471BBF"/>
    <w:tbl>
      <w:tblPr>
        <w:tblW w:w="18000" w:type="dxa"/>
        <w:tblBorders>
          <w:top w:val="single" w:sz="12" w:space="0" w:color="E7E4E4"/>
          <w:left w:val="single" w:sz="12" w:space="0" w:color="E7E4E4"/>
          <w:bottom w:val="single" w:sz="12" w:space="0" w:color="E7E4E4"/>
          <w:right w:val="single" w:sz="12" w:space="0" w:color="E7E4E4"/>
        </w:tblBorders>
        <w:shd w:val="clear" w:color="auto" w:fill="FFFFFF"/>
        <w:tblCellMar>
          <w:left w:w="0" w:type="dxa"/>
          <w:right w:w="0" w:type="dxa"/>
        </w:tblCellMar>
        <w:tblLook w:val="04A0" w:firstRow="1" w:lastRow="0" w:firstColumn="1" w:lastColumn="0" w:noHBand="0" w:noVBand="1"/>
      </w:tblPr>
      <w:tblGrid>
        <w:gridCol w:w="4200"/>
        <w:gridCol w:w="13800"/>
      </w:tblGrid>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Процессор</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2"/>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Процессоры </w:t>
            </w:r>
            <w:proofErr w:type="spellStart"/>
            <w:r w:rsidRPr="00FB002B">
              <w:rPr>
                <w:rFonts w:ascii="Arial" w:eastAsia="Times New Roman" w:hAnsi="Arial" w:cs="Arial"/>
                <w:color w:val="000000"/>
                <w:sz w:val="21"/>
                <w:szCs w:val="21"/>
                <w:lang w:eastAsia="ru-RU"/>
              </w:rPr>
              <w:t>Intel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Xeon</w:t>
            </w:r>
            <w:proofErr w:type="spellEnd"/>
            <w:r w:rsidRPr="00FB002B">
              <w:rPr>
                <w:rFonts w:ascii="Arial" w:eastAsia="Times New Roman" w:hAnsi="Arial" w:cs="Arial"/>
                <w:color w:val="000000"/>
                <w:sz w:val="21"/>
                <w:szCs w:val="21"/>
                <w:lang w:eastAsia="ru-RU"/>
              </w:rPr>
              <w:t>® E5 2600 v3</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Операционная система</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3"/>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Microsoft</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Windows</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Server</w:t>
            </w:r>
            <w:proofErr w:type="spellEnd"/>
            <w:r w:rsidRPr="00FB002B">
              <w:rPr>
                <w:rFonts w:ascii="Arial" w:eastAsia="Times New Roman" w:hAnsi="Arial" w:cs="Arial"/>
                <w:color w:val="000000"/>
                <w:sz w:val="21"/>
                <w:szCs w:val="21"/>
                <w:lang w:eastAsia="ru-RU"/>
              </w:rPr>
              <w:t xml:space="preserve"> 2008/2012 с пакетом обновления 2 (SP2), x86/x64 (версия x64 с технологией </w:t>
            </w:r>
            <w:proofErr w:type="spellStart"/>
            <w:r w:rsidRPr="00FB002B">
              <w:rPr>
                <w:rFonts w:ascii="Arial" w:eastAsia="Times New Roman" w:hAnsi="Arial" w:cs="Arial"/>
                <w:color w:val="000000"/>
                <w:sz w:val="21"/>
                <w:szCs w:val="21"/>
                <w:lang w:eastAsia="ru-RU"/>
              </w:rPr>
              <w:t>Hyper</w:t>
            </w:r>
            <w:proofErr w:type="spellEnd"/>
            <w:r w:rsidRPr="00FB002B">
              <w:rPr>
                <w:rFonts w:ascii="Arial" w:eastAsia="Times New Roman" w:hAnsi="Arial" w:cs="Arial"/>
                <w:color w:val="000000"/>
                <w:sz w:val="21"/>
                <w:szCs w:val="21"/>
                <w:lang w:eastAsia="ru-RU"/>
              </w:rPr>
              <w:t>-VTM) </w:t>
            </w:r>
            <w:r w:rsidRPr="00FB002B">
              <w:rPr>
                <w:rFonts w:ascii="Arial" w:eastAsia="Times New Roman" w:hAnsi="Arial" w:cs="Arial"/>
                <w:color w:val="000000"/>
                <w:sz w:val="21"/>
                <w:szCs w:val="21"/>
                <w:lang w:eastAsia="ru-RU"/>
              </w:rPr>
              <w:br/>
            </w:r>
            <w:proofErr w:type="spellStart"/>
            <w:r w:rsidRPr="00FB002B">
              <w:rPr>
                <w:rFonts w:ascii="Arial" w:eastAsia="Times New Roman" w:hAnsi="Arial" w:cs="Arial"/>
                <w:color w:val="000000"/>
                <w:sz w:val="21"/>
                <w:szCs w:val="21"/>
                <w:lang w:eastAsia="ru-RU"/>
              </w:rPr>
              <w:t>Microsoft</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Windows</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Server</w:t>
            </w:r>
            <w:proofErr w:type="spellEnd"/>
            <w:r w:rsidRPr="00FB002B">
              <w:rPr>
                <w:rFonts w:ascii="Arial" w:eastAsia="Times New Roman" w:hAnsi="Arial" w:cs="Arial"/>
                <w:color w:val="000000"/>
                <w:sz w:val="21"/>
                <w:szCs w:val="21"/>
                <w:lang w:eastAsia="ru-RU"/>
              </w:rPr>
              <w:t xml:space="preserve"> 2008/2012 R2, x64 (с технологией </w:t>
            </w:r>
            <w:proofErr w:type="spellStart"/>
            <w:r w:rsidRPr="00FB002B">
              <w:rPr>
                <w:rFonts w:ascii="Arial" w:eastAsia="Times New Roman" w:hAnsi="Arial" w:cs="Arial"/>
                <w:color w:val="000000"/>
                <w:sz w:val="21"/>
                <w:szCs w:val="21"/>
                <w:lang w:eastAsia="ru-RU"/>
              </w:rPr>
              <w:t>Hyper</w:t>
            </w:r>
            <w:proofErr w:type="spellEnd"/>
            <w:r w:rsidRPr="00FB002B">
              <w:rPr>
                <w:rFonts w:ascii="Arial" w:eastAsia="Times New Roman" w:hAnsi="Arial" w:cs="Arial"/>
                <w:color w:val="000000"/>
                <w:sz w:val="21"/>
                <w:szCs w:val="21"/>
                <w:lang w:eastAsia="ru-RU"/>
              </w:rPr>
              <w:t>-VTM v2) </w:t>
            </w:r>
            <w:r w:rsidRPr="00FB002B">
              <w:rPr>
                <w:rFonts w:ascii="Arial" w:eastAsia="Times New Roman" w:hAnsi="Arial" w:cs="Arial"/>
                <w:color w:val="000000"/>
                <w:sz w:val="21"/>
                <w:szCs w:val="21"/>
                <w:lang w:eastAsia="ru-RU"/>
              </w:rPr>
              <w:br/>
            </w:r>
            <w:proofErr w:type="spellStart"/>
            <w:r w:rsidRPr="00FB002B">
              <w:rPr>
                <w:rFonts w:ascii="Arial" w:eastAsia="Times New Roman" w:hAnsi="Arial" w:cs="Arial"/>
                <w:color w:val="000000"/>
                <w:sz w:val="21"/>
                <w:szCs w:val="21"/>
                <w:lang w:eastAsia="ru-RU"/>
              </w:rPr>
              <w:t>Microsoft</w:t>
            </w:r>
            <w:proofErr w:type="spellEnd"/>
            <w:r w:rsidRPr="00FB002B">
              <w:rPr>
                <w:rFonts w:ascii="Arial" w:eastAsia="Times New Roman" w:hAnsi="Arial" w:cs="Arial"/>
                <w:color w:val="000000"/>
                <w:sz w:val="21"/>
                <w:szCs w:val="21"/>
                <w:lang w:eastAsia="ru-RU"/>
              </w:rPr>
              <w:t>®</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Windows</w:t>
            </w:r>
            <w:proofErr w:type="spellEnd"/>
            <w:r w:rsidRPr="00FB002B">
              <w:rPr>
                <w:rFonts w:ascii="Arial" w:eastAsia="Times New Roman" w:hAnsi="Arial" w:cs="Arial"/>
                <w:color w:val="000000"/>
                <w:sz w:val="21"/>
                <w:szCs w:val="21"/>
                <w:lang w:eastAsia="ru-RU"/>
              </w:rPr>
              <w:t xml:space="preserve">® HPC </w:t>
            </w:r>
            <w:proofErr w:type="spellStart"/>
            <w:r w:rsidRPr="00FB002B">
              <w:rPr>
                <w:rFonts w:ascii="Arial" w:eastAsia="Times New Roman" w:hAnsi="Arial" w:cs="Arial"/>
                <w:color w:val="000000"/>
                <w:sz w:val="21"/>
                <w:szCs w:val="21"/>
                <w:lang w:eastAsia="ru-RU"/>
              </w:rPr>
              <w:t>Server</w:t>
            </w:r>
            <w:proofErr w:type="spellEnd"/>
            <w:r w:rsidRPr="00FB002B">
              <w:rPr>
                <w:rFonts w:ascii="Arial" w:eastAsia="Times New Roman" w:hAnsi="Arial" w:cs="Arial"/>
                <w:color w:val="000000"/>
                <w:sz w:val="21"/>
                <w:szCs w:val="21"/>
                <w:lang w:eastAsia="ru-RU"/>
              </w:rPr>
              <w:t xml:space="preserve"> 2008 </w:t>
            </w:r>
            <w:r w:rsidRPr="00FB002B">
              <w:rPr>
                <w:rFonts w:ascii="Arial" w:eastAsia="Times New Roman" w:hAnsi="Arial" w:cs="Arial"/>
                <w:color w:val="000000"/>
                <w:sz w:val="21"/>
                <w:szCs w:val="21"/>
                <w:lang w:eastAsia="ru-RU"/>
              </w:rPr>
              <w:br/>
            </w:r>
            <w:proofErr w:type="spellStart"/>
            <w:r w:rsidRPr="00FB002B">
              <w:rPr>
                <w:rFonts w:ascii="Arial" w:eastAsia="Times New Roman" w:hAnsi="Arial" w:cs="Arial"/>
                <w:color w:val="000000"/>
                <w:sz w:val="21"/>
                <w:szCs w:val="21"/>
                <w:lang w:eastAsia="ru-RU"/>
              </w:rPr>
              <w:t>Novell</w:t>
            </w:r>
            <w:proofErr w:type="spellEnd"/>
            <w:r w:rsidRPr="00FB002B">
              <w:rPr>
                <w:rFonts w:ascii="Arial" w:eastAsia="Times New Roman" w:hAnsi="Arial" w:cs="Arial"/>
                <w:color w:val="000000"/>
                <w:sz w:val="21"/>
                <w:szCs w:val="21"/>
                <w:lang w:eastAsia="ru-RU"/>
              </w:rPr>
              <w:t xml:space="preserve">® SUSE® </w:t>
            </w:r>
            <w:proofErr w:type="spellStart"/>
            <w:r w:rsidRPr="00FB002B">
              <w:rPr>
                <w:rFonts w:ascii="Arial" w:eastAsia="Times New Roman" w:hAnsi="Arial" w:cs="Arial"/>
                <w:color w:val="000000"/>
                <w:sz w:val="21"/>
                <w:szCs w:val="21"/>
                <w:lang w:eastAsia="ru-RU"/>
              </w:rPr>
              <w:t>Linux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Enterprise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Server</w:t>
            </w:r>
            <w:proofErr w:type="spellEnd"/>
            <w:r w:rsidRPr="00FB002B">
              <w:rPr>
                <w:rFonts w:ascii="Arial" w:eastAsia="Times New Roman" w:hAnsi="Arial" w:cs="Arial"/>
                <w:color w:val="000000"/>
                <w:sz w:val="21"/>
                <w:szCs w:val="21"/>
                <w:lang w:eastAsia="ru-RU"/>
              </w:rPr>
              <w:t> </w:t>
            </w:r>
            <w:r w:rsidRPr="00FB002B">
              <w:rPr>
                <w:rFonts w:ascii="Arial" w:eastAsia="Times New Roman" w:hAnsi="Arial" w:cs="Arial"/>
                <w:color w:val="000000"/>
                <w:sz w:val="21"/>
                <w:szCs w:val="21"/>
                <w:lang w:eastAsia="ru-RU"/>
              </w:rPr>
              <w:br/>
            </w:r>
            <w:proofErr w:type="spellStart"/>
            <w:r w:rsidRPr="00FB002B">
              <w:rPr>
                <w:rFonts w:ascii="Arial" w:eastAsia="Times New Roman" w:hAnsi="Arial" w:cs="Arial"/>
                <w:color w:val="000000"/>
                <w:sz w:val="21"/>
                <w:szCs w:val="21"/>
                <w:lang w:eastAsia="ru-RU"/>
              </w:rPr>
              <w:t>Red</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Hat</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Enterprise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Linux</w:t>
            </w:r>
            <w:proofErr w:type="spellEnd"/>
            <w:r w:rsidRPr="00FB002B">
              <w:rPr>
                <w:rFonts w:ascii="Arial" w:eastAsia="Times New Roman" w:hAnsi="Arial" w:cs="Arial"/>
                <w:color w:val="000000"/>
                <w:sz w:val="21"/>
                <w:szCs w:val="21"/>
                <w:lang w:eastAsia="ru-RU"/>
              </w:rPr>
              <w:t> </w:t>
            </w:r>
            <w:r w:rsidRPr="00FB002B">
              <w:rPr>
                <w:rFonts w:ascii="Arial" w:eastAsia="Times New Roman" w:hAnsi="Arial" w:cs="Arial"/>
                <w:color w:val="000000"/>
                <w:sz w:val="21"/>
                <w:szCs w:val="21"/>
                <w:lang w:eastAsia="ru-RU"/>
              </w:rPr>
              <w:br/>
            </w:r>
            <w:proofErr w:type="spellStart"/>
            <w:r w:rsidRPr="00FB002B">
              <w:rPr>
                <w:rFonts w:ascii="Arial" w:eastAsia="Times New Roman" w:hAnsi="Arial" w:cs="Arial"/>
                <w:color w:val="000000"/>
                <w:sz w:val="21"/>
                <w:szCs w:val="21"/>
                <w:lang w:eastAsia="ru-RU"/>
              </w:rPr>
              <w:t>VMware</w:t>
            </w:r>
            <w:proofErr w:type="spellEnd"/>
            <w:r w:rsidRPr="00FB002B">
              <w:rPr>
                <w:rFonts w:ascii="Arial" w:eastAsia="Times New Roman" w:hAnsi="Arial" w:cs="Arial"/>
                <w:color w:val="000000"/>
                <w:sz w:val="21"/>
                <w:szCs w:val="21"/>
                <w:lang w:eastAsia="ru-RU"/>
              </w:rPr>
              <w:t>® ESX</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Набор микросхем</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Набор микросхем серии </w:t>
            </w:r>
            <w:proofErr w:type="spellStart"/>
            <w:r w:rsidRPr="00FB002B">
              <w:rPr>
                <w:rFonts w:ascii="Arial" w:eastAsia="Times New Roman" w:hAnsi="Arial" w:cs="Arial"/>
                <w:color w:val="000000"/>
                <w:sz w:val="21"/>
                <w:szCs w:val="21"/>
                <w:lang w:eastAsia="ru-RU"/>
              </w:rPr>
              <w:t>Intel</w:t>
            </w:r>
            <w:proofErr w:type="spellEnd"/>
            <w:r w:rsidRPr="00FB002B">
              <w:rPr>
                <w:rFonts w:ascii="Arial" w:eastAsia="Times New Roman" w:hAnsi="Arial" w:cs="Arial"/>
                <w:color w:val="000000"/>
                <w:sz w:val="21"/>
                <w:szCs w:val="21"/>
                <w:lang w:eastAsia="ru-RU"/>
              </w:rPr>
              <w:t xml:space="preserve"> C610</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lastRenderedPageBreak/>
              <w:t>Память</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24 разъема для модулей памяти DIMM, память DDR4</w:t>
            </w:r>
          </w:p>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Архитектура: модули DDR4 DIMM с частотой до 2 133 МГц</w:t>
            </w:r>
          </w:p>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Тип памяти: RDIMM и LRDIMM</w:t>
            </w:r>
          </w:p>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Число разъемов для модулей памяти: 24</w:t>
            </w:r>
          </w:p>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Минимальный объем ОЗУ: 2 </w:t>
            </w:r>
            <w:proofErr w:type="spellStart"/>
            <w:r w:rsidRPr="00FB002B">
              <w:rPr>
                <w:rFonts w:ascii="Arial" w:eastAsia="Times New Roman" w:hAnsi="Arial" w:cs="Arial"/>
                <w:color w:val="000000"/>
                <w:sz w:val="21"/>
                <w:szCs w:val="21"/>
                <w:lang w:eastAsia="ru-RU"/>
              </w:rPr>
              <w:t>Гбайта</w:t>
            </w:r>
            <w:proofErr w:type="spellEnd"/>
            <w:r w:rsidRPr="00FB002B">
              <w:rPr>
                <w:rFonts w:ascii="Arial" w:eastAsia="Times New Roman" w:hAnsi="Arial" w:cs="Arial"/>
                <w:color w:val="000000"/>
                <w:sz w:val="21"/>
                <w:szCs w:val="21"/>
                <w:lang w:eastAsia="ru-RU"/>
              </w:rPr>
              <w:t xml:space="preserve"> (один модуль)</w:t>
            </w:r>
          </w:p>
          <w:p w:rsidR="00FB002B" w:rsidRPr="00FB002B" w:rsidRDefault="00FB002B" w:rsidP="00FB002B">
            <w:pPr>
              <w:numPr>
                <w:ilvl w:val="0"/>
                <w:numId w:val="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Максимальный объем ОЗУ: до 1 536 Гбайт (24</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 xml:space="preserve">разъема для модулей DIMM): 2 </w:t>
            </w:r>
            <w:proofErr w:type="spellStart"/>
            <w:r w:rsidRPr="00FB002B">
              <w:rPr>
                <w:rFonts w:ascii="Arial" w:eastAsia="Times New Roman" w:hAnsi="Arial" w:cs="Arial"/>
                <w:color w:val="000000"/>
                <w:sz w:val="21"/>
                <w:szCs w:val="21"/>
                <w:lang w:eastAsia="ru-RU"/>
              </w:rPr>
              <w:t>Гбайта</w:t>
            </w:r>
            <w:proofErr w:type="spellEnd"/>
            <w:r w:rsidRPr="00FB002B">
              <w:rPr>
                <w:rFonts w:ascii="Arial" w:eastAsia="Times New Roman" w:hAnsi="Arial" w:cs="Arial"/>
                <w:color w:val="000000"/>
                <w:sz w:val="21"/>
                <w:szCs w:val="21"/>
                <w:lang w:eastAsia="ru-RU"/>
              </w:rPr>
              <w:t xml:space="preserve">/4 </w:t>
            </w:r>
            <w:proofErr w:type="spellStart"/>
            <w:r w:rsidRPr="00FB002B">
              <w:rPr>
                <w:rFonts w:ascii="Arial" w:eastAsia="Times New Roman" w:hAnsi="Arial" w:cs="Arial"/>
                <w:color w:val="000000"/>
                <w:sz w:val="21"/>
                <w:szCs w:val="21"/>
                <w:lang w:eastAsia="ru-RU"/>
              </w:rPr>
              <w:t>Гбайта</w:t>
            </w:r>
            <w:proofErr w:type="spellEnd"/>
            <w:r w:rsidRPr="00FB002B">
              <w:rPr>
                <w:rFonts w:ascii="Arial" w:eastAsia="Times New Roman" w:hAnsi="Arial" w:cs="Arial"/>
                <w:color w:val="000000"/>
                <w:sz w:val="21"/>
                <w:szCs w:val="21"/>
                <w:lang w:eastAsia="ru-RU"/>
              </w:rPr>
              <w:t xml:space="preserve">/8 Гбайт/16 Гбайт/32 </w:t>
            </w:r>
            <w:proofErr w:type="spellStart"/>
            <w:r w:rsidRPr="00FB002B">
              <w:rPr>
                <w:rFonts w:ascii="Arial" w:eastAsia="Times New Roman" w:hAnsi="Arial" w:cs="Arial"/>
                <w:color w:val="000000"/>
                <w:sz w:val="21"/>
                <w:szCs w:val="21"/>
                <w:lang w:eastAsia="ru-RU"/>
              </w:rPr>
              <w:t>Гбайта</w:t>
            </w:r>
            <w:proofErr w:type="spellEnd"/>
            <w:r w:rsidRPr="00FB002B">
              <w:rPr>
                <w:rFonts w:ascii="Arial" w:eastAsia="Times New Roman" w:hAnsi="Arial" w:cs="Arial"/>
                <w:color w:val="000000"/>
                <w:sz w:val="21"/>
                <w:szCs w:val="21"/>
                <w:lang w:eastAsia="ru-RU"/>
              </w:rPr>
              <w:t xml:space="preserve">/64 </w:t>
            </w:r>
            <w:proofErr w:type="spellStart"/>
            <w:r w:rsidRPr="00FB002B">
              <w:rPr>
                <w:rFonts w:ascii="Arial" w:eastAsia="Times New Roman" w:hAnsi="Arial" w:cs="Arial"/>
                <w:color w:val="000000"/>
                <w:sz w:val="21"/>
                <w:szCs w:val="21"/>
                <w:lang w:eastAsia="ru-RU"/>
              </w:rPr>
              <w:t>Гбайта</w:t>
            </w:r>
            <w:proofErr w:type="spellEnd"/>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Встроенный гипервизор (опционально)</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5"/>
              </w:numPr>
              <w:spacing w:after="0" w:line="240" w:lineRule="auto"/>
              <w:ind w:left="0"/>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val="en-US" w:eastAsia="ru-RU"/>
              </w:rPr>
              <w:t xml:space="preserve">Microsoft® Windows Server® 2008 </w:t>
            </w:r>
            <w:r w:rsidRPr="00FB002B">
              <w:rPr>
                <w:rFonts w:ascii="Arial" w:eastAsia="Times New Roman" w:hAnsi="Arial" w:cs="Arial"/>
                <w:color w:val="000000"/>
                <w:sz w:val="21"/>
                <w:szCs w:val="21"/>
                <w:lang w:eastAsia="ru-RU"/>
              </w:rPr>
              <w:t>с</w:t>
            </w:r>
            <w:r w:rsidRPr="00FB002B">
              <w:rPr>
                <w:rFonts w:ascii="Arial" w:eastAsia="Times New Roman" w:hAnsi="Arial" w:cs="Arial"/>
                <w:color w:val="000000"/>
                <w:sz w:val="21"/>
                <w:szCs w:val="21"/>
                <w:lang w:val="en-US" w:eastAsia="ru-RU"/>
              </w:rPr>
              <w:t xml:space="preserve"> Hyper-VTM </w:t>
            </w:r>
            <w:r w:rsidRPr="00FB002B">
              <w:rPr>
                <w:rFonts w:ascii="Arial" w:eastAsia="Times New Roman" w:hAnsi="Arial" w:cs="Arial"/>
                <w:color w:val="000000"/>
                <w:sz w:val="21"/>
                <w:szCs w:val="21"/>
                <w:lang w:val="en-US" w:eastAsia="ru-RU"/>
              </w:rPr>
              <w:br/>
              <w:t xml:space="preserve">VMware® </w:t>
            </w:r>
            <w:proofErr w:type="spellStart"/>
            <w:r w:rsidRPr="00FB002B">
              <w:rPr>
                <w:rFonts w:ascii="Arial" w:eastAsia="Times New Roman" w:hAnsi="Arial" w:cs="Arial"/>
                <w:color w:val="000000"/>
                <w:sz w:val="21"/>
                <w:szCs w:val="21"/>
                <w:lang w:val="en-US" w:eastAsia="ru-RU"/>
              </w:rPr>
              <w:t>ESXi</w:t>
            </w:r>
            <w:proofErr w:type="spellEnd"/>
            <w:r w:rsidRPr="00FB002B">
              <w:rPr>
                <w:rFonts w:ascii="Arial" w:eastAsia="Times New Roman" w:hAnsi="Arial" w:cs="Arial"/>
                <w:color w:val="000000"/>
                <w:sz w:val="21"/>
                <w:szCs w:val="21"/>
                <w:lang w:val="en-US" w:eastAsia="ru-RU"/>
              </w:rPr>
              <w:t> </w:t>
            </w:r>
            <w:r w:rsidRPr="00FB002B">
              <w:rPr>
                <w:rFonts w:ascii="Arial" w:eastAsia="Times New Roman" w:hAnsi="Arial" w:cs="Arial"/>
                <w:color w:val="000000"/>
                <w:sz w:val="21"/>
                <w:szCs w:val="21"/>
                <w:lang w:val="en-US" w:eastAsia="ru-RU"/>
              </w:rPr>
              <w:br/>
              <w:t xml:space="preserve">Citrix </w:t>
            </w:r>
            <w:proofErr w:type="spellStart"/>
            <w:r w:rsidRPr="00FB002B">
              <w:rPr>
                <w:rFonts w:ascii="Arial" w:eastAsia="Times New Roman" w:hAnsi="Arial" w:cs="Arial"/>
                <w:color w:val="000000"/>
                <w:sz w:val="21"/>
                <w:szCs w:val="21"/>
                <w:lang w:val="en-US" w:eastAsia="ru-RU"/>
              </w:rPr>
              <w:t>XenServer</w:t>
            </w:r>
            <w:proofErr w:type="spellEnd"/>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Система хранения данных</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b/>
                <w:bCs/>
                <w:color w:val="000000"/>
                <w:sz w:val="21"/>
                <w:szCs w:val="21"/>
                <w:bdr w:val="none" w:sz="0" w:space="0" w:color="auto" w:frame="1"/>
                <w:lang w:eastAsia="ru-RU"/>
              </w:rPr>
              <w:t xml:space="preserve">SAS, SATA, </w:t>
            </w:r>
            <w:proofErr w:type="spellStart"/>
            <w:r w:rsidRPr="00FB002B">
              <w:rPr>
                <w:rFonts w:ascii="Arial" w:eastAsia="Times New Roman" w:hAnsi="Arial" w:cs="Arial"/>
                <w:b/>
                <w:bCs/>
                <w:color w:val="000000"/>
                <w:sz w:val="21"/>
                <w:szCs w:val="21"/>
                <w:bdr w:val="none" w:sz="0" w:space="0" w:color="auto" w:frame="1"/>
                <w:lang w:eastAsia="ru-RU"/>
              </w:rPr>
              <w:t>Near-Line</w:t>
            </w:r>
            <w:proofErr w:type="spellEnd"/>
            <w:r w:rsidRPr="00FB002B">
              <w:rPr>
                <w:rFonts w:ascii="Arial" w:eastAsia="Times New Roman" w:hAnsi="Arial" w:cs="Arial"/>
                <w:b/>
                <w:bCs/>
                <w:color w:val="000000"/>
                <w:sz w:val="21"/>
                <w:szCs w:val="21"/>
                <w:bdr w:val="none" w:sz="0" w:space="0" w:color="auto" w:frame="1"/>
                <w:lang w:eastAsia="ru-RU"/>
              </w:rPr>
              <w:t xml:space="preserve"> SAS, твердотельные накопители, твердотельные накопители </w:t>
            </w:r>
            <w:proofErr w:type="spellStart"/>
            <w:r w:rsidRPr="00FB002B">
              <w:rPr>
                <w:rFonts w:ascii="Arial" w:eastAsia="Times New Roman" w:hAnsi="Arial" w:cs="Arial"/>
                <w:b/>
                <w:bCs/>
                <w:color w:val="000000"/>
                <w:sz w:val="21"/>
                <w:szCs w:val="21"/>
                <w:bdr w:val="none" w:sz="0" w:space="0" w:color="auto" w:frame="1"/>
                <w:lang w:eastAsia="ru-RU"/>
              </w:rPr>
              <w:t>PCIe</w:t>
            </w:r>
            <w:proofErr w:type="spellEnd"/>
            <w:r w:rsidRPr="00FB002B">
              <w:rPr>
                <w:rFonts w:ascii="Arial" w:eastAsia="Times New Roman" w:hAnsi="Arial" w:cs="Arial"/>
                <w:b/>
                <w:bCs/>
                <w:color w:val="000000"/>
                <w:sz w:val="21"/>
                <w:szCs w:val="21"/>
                <w:bdr w:val="none" w:sz="0" w:space="0" w:color="auto" w:frame="1"/>
                <w:lang w:eastAsia="ru-RU"/>
              </w:rPr>
              <w:t>:</w:t>
            </w:r>
          </w:p>
          <w:p w:rsidR="00FB002B" w:rsidRPr="00FB002B" w:rsidRDefault="00FB002B" w:rsidP="00FB002B">
            <w:pPr>
              <w:numPr>
                <w:ilvl w:val="0"/>
                <w:numId w:val="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18 3,5-дюймовых жестких дисков — до 72 Тбайт с использованием жестких дисков SAS объемом 4 Тбайта с возможностью горячей замены;</w:t>
            </w:r>
          </w:p>
          <w:p w:rsidR="00FB002B" w:rsidRPr="00FB002B" w:rsidRDefault="00FB002B" w:rsidP="00FB002B">
            <w:pPr>
              <w:numPr>
                <w:ilvl w:val="0"/>
                <w:numId w:val="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32 2,5-дюймовых жестких диска — до 32 Тбайт с использованием жестких дисков SAS объемом 1 Тбайт с возможностью горячей замены.</w:t>
            </w:r>
          </w:p>
          <w:p w:rsidR="00FB002B" w:rsidRPr="00FB002B" w:rsidRDefault="00FB002B" w:rsidP="00FB002B">
            <w:pPr>
              <w:numPr>
                <w:ilvl w:val="0"/>
                <w:numId w:val="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четырех опциональных твердотельных накопителей </w:t>
            </w:r>
            <w:proofErr w:type="spellStart"/>
            <w:r w:rsidRPr="00FB002B">
              <w:rPr>
                <w:rFonts w:ascii="Arial" w:eastAsia="Times New Roman" w:hAnsi="Arial" w:cs="Arial"/>
                <w:color w:val="000000"/>
                <w:sz w:val="21"/>
                <w:szCs w:val="21"/>
                <w:lang w:eastAsia="ru-RU"/>
              </w:rPr>
              <w:t>Express</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Flash</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PCIe</w:t>
            </w:r>
            <w:proofErr w:type="spellEnd"/>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Отсеки для дисководов</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Внутренний отсек для жестких дисков и распределительная плата с возможностью горячей замены:</w:t>
            </w:r>
          </w:p>
          <w:p w:rsidR="00FB002B" w:rsidRPr="00FB002B" w:rsidRDefault="00FB002B" w:rsidP="00FB002B">
            <w:pPr>
              <w:numPr>
                <w:ilvl w:val="0"/>
                <w:numId w:val="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8 3,5-дюймовых дисков SAS, SATA, </w:t>
            </w:r>
            <w:proofErr w:type="spellStart"/>
            <w:r w:rsidRPr="00FB002B">
              <w:rPr>
                <w:rFonts w:ascii="Arial" w:eastAsia="Times New Roman" w:hAnsi="Arial" w:cs="Arial"/>
                <w:color w:val="000000"/>
                <w:sz w:val="21"/>
                <w:szCs w:val="21"/>
                <w:lang w:eastAsia="ru-RU"/>
              </w:rPr>
              <w:t>Near-Line</w:t>
            </w:r>
            <w:proofErr w:type="spellEnd"/>
            <w:r w:rsidRPr="00FB002B">
              <w:rPr>
                <w:rFonts w:ascii="Arial" w:eastAsia="Times New Roman" w:hAnsi="Arial" w:cs="Arial"/>
                <w:color w:val="000000"/>
                <w:sz w:val="21"/>
                <w:szCs w:val="21"/>
                <w:lang w:eastAsia="ru-RU"/>
              </w:rPr>
              <w:t xml:space="preserve"> SAS, твердотельных накопителей, твердотельных накопителей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с дополнительным отсеком </w:t>
            </w:r>
            <w:proofErr w:type="spellStart"/>
            <w:r w:rsidRPr="00FB002B">
              <w:rPr>
                <w:rFonts w:ascii="Arial" w:eastAsia="Times New Roman" w:hAnsi="Arial" w:cs="Arial"/>
                <w:color w:val="000000"/>
                <w:sz w:val="21"/>
                <w:szCs w:val="21"/>
                <w:lang w:eastAsia="ru-RU"/>
              </w:rPr>
              <w:t>Flex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Bay</w:t>
            </w:r>
            <w:proofErr w:type="spellEnd"/>
            <w:r w:rsidRPr="00FB002B">
              <w:rPr>
                <w:rFonts w:ascii="Arial" w:eastAsia="Times New Roman" w:hAnsi="Arial" w:cs="Arial"/>
                <w:color w:val="000000"/>
                <w:sz w:val="21"/>
                <w:szCs w:val="21"/>
                <w:lang w:eastAsia="ru-RU"/>
              </w:rPr>
              <w:t>;</w:t>
            </w:r>
          </w:p>
          <w:p w:rsidR="00FB002B" w:rsidRPr="00FB002B" w:rsidRDefault="00FB002B" w:rsidP="00FB002B">
            <w:pPr>
              <w:numPr>
                <w:ilvl w:val="0"/>
                <w:numId w:val="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18 3,5-дюймовых дисков SAS, SATA, </w:t>
            </w:r>
            <w:proofErr w:type="spellStart"/>
            <w:r w:rsidRPr="00FB002B">
              <w:rPr>
                <w:rFonts w:ascii="Arial" w:eastAsia="Times New Roman" w:hAnsi="Arial" w:cs="Arial"/>
                <w:color w:val="000000"/>
                <w:sz w:val="21"/>
                <w:szCs w:val="21"/>
                <w:lang w:eastAsia="ru-RU"/>
              </w:rPr>
              <w:t>Near-Line</w:t>
            </w:r>
            <w:proofErr w:type="spellEnd"/>
            <w:r w:rsidRPr="00FB002B">
              <w:rPr>
                <w:rFonts w:ascii="Arial" w:eastAsia="Times New Roman" w:hAnsi="Arial" w:cs="Arial"/>
                <w:color w:val="000000"/>
                <w:sz w:val="21"/>
                <w:szCs w:val="21"/>
                <w:lang w:eastAsia="ru-RU"/>
              </w:rPr>
              <w:t xml:space="preserve"> SAS, твердотельных накопителей без дополнительного отсека </w:t>
            </w:r>
            <w:proofErr w:type="spellStart"/>
            <w:r w:rsidRPr="00FB002B">
              <w:rPr>
                <w:rFonts w:ascii="Arial" w:eastAsia="Times New Roman" w:hAnsi="Arial" w:cs="Arial"/>
                <w:color w:val="000000"/>
                <w:sz w:val="21"/>
                <w:szCs w:val="21"/>
                <w:lang w:eastAsia="ru-RU"/>
              </w:rPr>
              <w:t>Flex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Bay</w:t>
            </w:r>
            <w:proofErr w:type="spellEnd"/>
            <w:r w:rsidRPr="00FB002B">
              <w:rPr>
                <w:rFonts w:ascii="Arial" w:eastAsia="Times New Roman" w:hAnsi="Arial" w:cs="Arial"/>
                <w:color w:val="000000"/>
                <w:sz w:val="21"/>
                <w:szCs w:val="21"/>
                <w:lang w:eastAsia="ru-RU"/>
              </w:rPr>
              <w:t>;</w:t>
            </w:r>
          </w:p>
          <w:p w:rsidR="00FB002B" w:rsidRPr="00FB002B" w:rsidRDefault="00FB002B" w:rsidP="00FB002B">
            <w:pPr>
              <w:numPr>
                <w:ilvl w:val="0"/>
                <w:numId w:val="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16 2,5-дюймовых дисков SAS, SATA, </w:t>
            </w:r>
            <w:proofErr w:type="spellStart"/>
            <w:r w:rsidRPr="00FB002B">
              <w:rPr>
                <w:rFonts w:ascii="Arial" w:eastAsia="Times New Roman" w:hAnsi="Arial" w:cs="Arial"/>
                <w:color w:val="000000"/>
                <w:sz w:val="21"/>
                <w:szCs w:val="21"/>
                <w:lang w:eastAsia="ru-RU"/>
              </w:rPr>
              <w:t>Near-Line</w:t>
            </w:r>
            <w:proofErr w:type="spellEnd"/>
            <w:r w:rsidRPr="00FB002B">
              <w:rPr>
                <w:rFonts w:ascii="Arial" w:eastAsia="Times New Roman" w:hAnsi="Arial" w:cs="Arial"/>
                <w:color w:val="000000"/>
                <w:sz w:val="21"/>
                <w:szCs w:val="21"/>
                <w:lang w:eastAsia="ru-RU"/>
              </w:rPr>
              <w:t xml:space="preserve"> SAS, твердотельных накопителей, твердотельных накопителей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с дополнительным отсеком </w:t>
            </w:r>
            <w:proofErr w:type="spellStart"/>
            <w:r w:rsidRPr="00FB002B">
              <w:rPr>
                <w:rFonts w:ascii="Arial" w:eastAsia="Times New Roman" w:hAnsi="Arial" w:cs="Arial"/>
                <w:color w:val="000000"/>
                <w:sz w:val="21"/>
                <w:szCs w:val="21"/>
                <w:lang w:eastAsia="ru-RU"/>
              </w:rPr>
              <w:t>Flex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Bay</w:t>
            </w:r>
            <w:proofErr w:type="spellEnd"/>
            <w:r w:rsidRPr="00FB002B">
              <w:rPr>
                <w:rFonts w:ascii="Arial" w:eastAsia="Times New Roman" w:hAnsi="Arial" w:cs="Arial"/>
                <w:color w:val="000000"/>
                <w:sz w:val="21"/>
                <w:szCs w:val="21"/>
                <w:lang w:eastAsia="ru-RU"/>
              </w:rPr>
              <w:t>;</w:t>
            </w:r>
          </w:p>
          <w:p w:rsidR="00FB002B" w:rsidRPr="00FB002B" w:rsidRDefault="00FB002B" w:rsidP="00FB002B">
            <w:pPr>
              <w:numPr>
                <w:ilvl w:val="0"/>
                <w:numId w:val="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до 32 2,5-дюймовых дисков SAS, SATA, </w:t>
            </w:r>
            <w:proofErr w:type="spellStart"/>
            <w:r w:rsidRPr="00FB002B">
              <w:rPr>
                <w:rFonts w:ascii="Arial" w:eastAsia="Times New Roman" w:hAnsi="Arial" w:cs="Arial"/>
                <w:color w:val="000000"/>
                <w:sz w:val="21"/>
                <w:szCs w:val="21"/>
                <w:lang w:eastAsia="ru-RU"/>
              </w:rPr>
              <w:t>Near-Line</w:t>
            </w:r>
            <w:proofErr w:type="spellEnd"/>
            <w:r w:rsidRPr="00FB002B">
              <w:rPr>
                <w:rFonts w:ascii="Arial" w:eastAsia="Times New Roman" w:hAnsi="Arial" w:cs="Arial"/>
                <w:color w:val="000000"/>
                <w:sz w:val="21"/>
                <w:szCs w:val="21"/>
                <w:lang w:eastAsia="ru-RU"/>
              </w:rPr>
              <w:t xml:space="preserve"> SAS, твердотельных накопителей с дополнительным отсеком </w:t>
            </w:r>
            <w:proofErr w:type="spellStart"/>
            <w:r w:rsidRPr="00FB002B">
              <w:rPr>
                <w:rFonts w:ascii="Arial" w:eastAsia="Times New Roman" w:hAnsi="Arial" w:cs="Arial"/>
                <w:color w:val="000000"/>
                <w:sz w:val="21"/>
                <w:szCs w:val="21"/>
                <w:lang w:eastAsia="ru-RU"/>
              </w:rPr>
              <w:t>Flex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Bay</w:t>
            </w:r>
            <w:proofErr w:type="spellEnd"/>
            <w:r w:rsidRPr="00FB002B">
              <w:rPr>
                <w:rFonts w:ascii="Arial" w:eastAsia="Times New Roman" w:hAnsi="Arial" w:cs="Arial"/>
                <w:color w:val="000000"/>
                <w:sz w:val="21"/>
                <w:szCs w:val="21"/>
                <w:lang w:eastAsia="ru-RU"/>
              </w:rPr>
              <w:t>.</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Разъемы</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1: полной длины, полной высоты, процессор 1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x16 (разъем x16)</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2: полной длины, полной высоты, PCH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Gen2 x4 (разъем x8)</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3: полной длины, полной высоты, процессор 1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x16 (разъем x16)</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4: половинной длины, полной высоты, процессор 2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третьего поколения x8 (разъем x8)</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5: полной длины, полной высоты, процессор 2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второго поколения (DMI) x4 (разъем x8)</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6: полной длины, полной высоты, процессор 2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третьего поколения x16 (разъем x16)</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7: полной длины, полной высоты, процессор 2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третьего поколения x16 (разъем x16)</w:t>
            </w:r>
          </w:p>
          <w:p w:rsidR="00FB002B" w:rsidRPr="00FB002B" w:rsidRDefault="00FB002B" w:rsidP="00FB002B">
            <w:pPr>
              <w:numPr>
                <w:ilvl w:val="0"/>
                <w:numId w:val="8"/>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Слот 8: половинной длины, полной высоты, процессор 1 —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 xml:space="preserve"> третьего поколения x8 (разъем x8)</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Контроллеры RAID</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color w:val="000000"/>
                <w:sz w:val="21"/>
                <w:szCs w:val="21"/>
                <w:lang w:eastAsia="ru-RU"/>
              </w:rPr>
            </w:pPr>
            <w:r w:rsidRPr="00FB002B">
              <w:rPr>
                <w:rFonts w:ascii="Arial" w:eastAsia="Times New Roman" w:hAnsi="Arial" w:cs="Arial"/>
                <w:b/>
                <w:bCs/>
                <w:color w:val="000000"/>
                <w:sz w:val="21"/>
                <w:szCs w:val="21"/>
                <w:bdr w:val="none" w:sz="0" w:space="0" w:color="auto" w:frame="1"/>
                <w:lang w:eastAsia="ru-RU"/>
              </w:rPr>
              <w:t>Внутренние:</w:t>
            </w:r>
            <w:r w:rsidRPr="00FB002B">
              <w:rPr>
                <w:rFonts w:ascii="Arial" w:eastAsia="Times New Roman" w:hAnsi="Arial" w:cs="Arial"/>
                <w:color w:val="000000"/>
                <w:sz w:val="21"/>
                <w:szCs w:val="21"/>
                <w:lang w:eastAsia="ru-RU"/>
              </w:rPr>
              <w:t> </w:t>
            </w:r>
            <w:r w:rsidRPr="00FB002B">
              <w:rPr>
                <w:rFonts w:ascii="Arial" w:eastAsia="Times New Roman" w:hAnsi="Arial" w:cs="Arial"/>
                <w:color w:val="000000"/>
                <w:sz w:val="21"/>
                <w:szCs w:val="21"/>
                <w:lang w:eastAsia="ru-RU"/>
              </w:rPr>
              <w:br/>
            </w:r>
          </w:p>
          <w:p w:rsidR="00FB002B" w:rsidRPr="00FB002B" w:rsidRDefault="00FB002B" w:rsidP="00FB002B">
            <w:pPr>
              <w:numPr>
                <w:ilvl w:val="0"/>
                <w:numId w:val="9"/>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PERC S130</w:t>
            </w:r>
          </w:p>
          <w:p w:rsidR="00FB002B" w:rsidRPr="00FB002B" w:rsidRDefault="00FB002B" w:rsidP="00FB002B">
            <w:pPr>
              <w:numPr>
                <w:ilvl w:val="0"/>
                <w:numId w:val="9"/>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PERC H330</w:t>
            </w:r>
          </w:p>
          <w:p w:rsidR="00FB002B" w:rsidRPr="00FB002B" w:rsidRDefault="00FB002B" w:rsidP="00FB002B">
            <w:pPr>
              <w:numPr>
                <w:ilvl w:val="0"/>
                <w:numId w:val="9"/>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PERC H730</w:t>
            </w:r>
          </w:p>
          <w:p w:rsidR="00FB002B" w:rsidRPr="00FB002B" w:rsidRDefault="00FB002B" w:rsidP="00FB002B">
            <w:pPr>
              <w:numPr>
                <w:ilvl w:val="0"/>
                <w:numId w:val="9"/>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PERC H730P</w:t>
            </w:r>
          </w:p>
          <w:p w:rsidR="00FB002B" w:rsidRPr="00FB002B" w:rsidRDefault="00FB002B" w:rsidP="00FB002B">
            <w:pPr>
              <w:spacing w:after="0" w:line="240" w:lineRule="auto"/>
              <w:rPr>
                <w:rFonts w:ascii="Arial" w:eastAsia="Times New Roman" w:hAnsi="Arial" w:cs="Arial"/>
                <w:color w:val="000000"/>
                <w:sz w:val="21"/>
                <w:szCs w:val="21"/>
                <w:lang w:eastAsia="ru-RU"/>
              </w:rPr>
            </w:pPr>
            <w:r w:rsidRPr="00FB002B">
              <w:rPr>
                <w:rFonts w:ascii="Arial" w:eastAsia="Times New Roman" w:hAnsi="Arial" w:cs="Arial"/>
                <w:b/>
                <w:bCs/>
                <w:color w:val="000000"/>
                <w:sz w:val="21"/>
                <w:szCs w:val="21"/>
                <w:bdr w:val="none" w:sz="0" w:space="0" w:color="auto" w:frame="1"/>
                <w:lang w:eastAsia="ru-RU"/>
              </w:rPr>
              <w:t>Внешние:</w:t>
            </w:r>
            <w:r w:rsidRPr="00FB002B">
              <w:rPr>
                <w:rFonts w:ascii="Arial" w:eastAsia="Times New Roman" w:hAnsi="Arial" w:cs="Arial"/>
                <w:color w:val="000000"/>
                <w:sz w:val="21"/>
                <w:szCs w:val="21"/>
                <w:lang w:eastAsia="ru-RU"/>
              </w:rPr>
              <w:t> </w:t>
            </w:r>
            <w:r w:rsidRPr="00FB002B">
              <w:rPr>
                <w:rFonts w:ascii="Arial" w:eastAsia="Times New Roman" w:hAnsi="Arial" w:cs="Arial"/>
                <w:color w:val="000000"/>
                <w:sz w:val="21"/>
                <w:szCs w:val="21"/>
                <w:lang w:eastAsia="ru-RU"/>
              </w:rPr>
              <w:br/>
            </w:r>
          </w:p>
          <w:p w:rsidR="00FB002B" w:rsidRPr="00FB002B" w:rsidRDefault="00FB002B" w:rsidP="00FB002B">
            <w:pPr>
              <w:numPr>
                <w:ilvl w:val="0"/>
                <w:numId w:val="10"/>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PERC H830</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Сетевой контроллер</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1"/>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2 x 1 Гбит/с</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Сетевые подключения</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Четырехпортовая сетевая плата </w:t>
            </w:r>
            <w:proofErr w:type="spellStart"/>
            <w:r w:rsidRPr="00FB002B">
              <w:rPr>
                <w:rFonts w:ascii="Arial" w:eastAsia="Times New Roman" w:hAnsi="Arial" w:cs="Arial"/>
                <w:color w:val="000000"/>
                <w:sz w:val="21"/>
                <w:szCs w:val="21"/>
                <w:lang w:eastAsia="ru-RU"/>
              </w:rPr>
              <w:t>Broadcom</w:t>
            </w:r>
            <w:proofErr w:type="spellEnd"/>
            <w:r w:rsidRPr="00FB002B">
              <w:rPr>
                <w:rFonts w:ascii="Arial" w:eastAsia="Times New Roman" w:hAnsi="Arial" w:cs="Arial"/>
                <w:color w:val="000000"/>
                <w:sz w:val="21"/>
                <w:szCs w:val="21"/>
                <w:lang w:eastAsia="ru-RU"/>
              </w:rPr>
              <w:t>® 5719, 1</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Двухпортовая</w:t>
            </w:r>
            <w:proofErr w:type="spellEnd"/>
            <w:r w:rsidRPr="00FB002B">
              <w:rPr>
                <w:rFonts w:ascii="Arial" w:eastAsia="Times New Roman" w:hAnsi="Arial" w:cs="Arial"/>
                <w:color w:val="000000"/>
                <w:sz w:val="21"/>
                <w:szCs w:val="21"/>
                <w:lang w:eastAsia="ru-RU"/>
              </w:rPr>
              <w:t xml:space="preserve"> сетевая плата </w:t>
            </w:r>
            <w:proofErr w:type="spellStart"/>
            <w:r w:rsidRPr="00FB002B">
              <w:rPr>
                <w:rFonts w:ascii="Arial" w:eastAsia="Times New Roman" w:hAnsi="Arial" w:cs="Arial"/>
                <w:color w:val="000000"/>
                <w:sz w:val="21"/>
                <w:szCs w:val="21"/>
                <w:lang w:eastAsia="ru-RU"/>
              </w:rPr>
              <w:t>Broadcom</w:t>
            </w:r>
            <w:proofErr w:type="spellEnd"/>
            <w:r w:rsidRPr="00FB002B">
              <w:rPr>
                <w:rFonts w:ascii="Arial" w:eastAsia="Times New Roman" w:hAnsi="Arial" w:cs="Arial"/>
                <w:color w:val="000000"/>
                <w:sz w:val="21"/>
                <w:szCs w:val="21"/>
                <w:lang w:eastAsia="ru-RU"/>
              </w:rPr>
              <w:t xml:space="preserve"> 5720, 1</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lastRenderedPageBreak/>
              <w:t>Двухпортовый</w:t>
            </w:r>
            <w:proofErr w:type="spellEnd"/>
            <w:r w:rsidRPr="00FB002B">
              <w:rPr>
                <w:rFonts w:ascii="Arial" w:eastAsia="Times New Roman" w:hAnsi="Arial" w:cs="Arial"/>
                <w:color w:val="000000"/>
                <w:sz w:val="21"/>
                <w:szCs w:val="21"/>
                <w:lang w:eastAsia="ru-RU"/>
              </w:rPr>
              <w:t xml:space="preserve"> адаптер для конвергентных сетей </w:t>
            </w:r>
            <w:proofErr w:type="spellStart"/>
            <w:r w:rsidRPr="00FB002B">
              <w:rPr>
                <w:rFonts w:ascii="Arial" w:eastAsia="Times New Roman" w:hAnsi="Arial" w:cs="Arial"/>
                <w:color w:val="000000"/>
                <w:sz w:val="21"/>
                <w:szCs w:val="21"/>
                <w:lang w:eastAsia="ru-RU"/>
              </w:rPr>
              <w:t>Broadcom</w:t>
            </w:r>
            <w:proofErr w:type="spellEnd"/>
            <w:r w:rsidRPr="00FB002B">
              <w:rPr>
                <w:rFonts w:ascii="Arial" w:eastAsia="Times New Roman" w:hAnsi="Arial" w:cs="Arial"/>
                <w:color w:val="000000"/>
                <w:sz w:val="21"/>
                <w:szCs w:val="21"/>
                <w:lang w:eastAsia="ru-RU"/>
              </w:rPr>
              <w:t xml:space="preserve"> 57810 10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DA/SFP+</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сетевой адаптер </w:t>
            </w:r>
            <w:proofErr w:type="spellStart"/>
            <w:r w:rsidRPr="00FB002B">
              <w:rPr>
                <w:rFonts w:ascii="Arial" w:eastAsia="Times New Roman" w:hAnsi="Arial" w:cs="Arial"/>
                <w:color w:val="000000"/>
                <w:sz w:val="21"/>
                <w:szCs w:val="21"/>
                <w:lang w:eastAsia="ru-RU"/>
              </w:rPr>
              <w:t>Broadcom</w:t>
            </w:r>
            <w:proofErr w:type="spellEnd"/>
            <w:r w:rsidRPr="00FB002B">
              <w:rPr>
                <w:rFonts w:ascii="Arial" w:eastAsia="Times New Roman" w:hAnsi="Arial" w:cs="Arial"/>
                <w:color w:val="000000"/>
                <w:sz w:val="21"/>
                <w:szCs w:val="21"/>
                <w:lang w:eastAsia="ru-RU"/>
              </w:rPr>
              <w:t xml:space="preserve"> 57810, 10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 xml:space="preserve">Гбит/с, </w:t>
            </w:r>
            <w:proofErr w:type="spellStart"/>
            <w:r w:rsidRPr="00FB002B">
              <w:rPr>
                <w:rFonts w:ascii="Arial" w:eastAsia="Times New Roman" w:hAnsi="Arial" w:cs="Arial"/>
                <w:color w:val="000000"/>
                <w:sz w:val="21"/>
                <w:szCs w:val="21"/>
                <w:lang w:eastAsia="ru-RU"/>
              </w:rPr>
              <w:t>Base</w:t>
            </w:r>
            <w:proofErr w:type="spellEnd"/>
            <w:r w:rsidRPr="00FB002B">
              <w:rPr>
                <w:rFonts w:ascii="Arial" w:eastAsia="Times New Roman" w:hAnsi="Arial" w:cs="Arial"/>
                <w:color w:val="000000"/>
                <w:sz w:val="21"/>
                <w:szCs w:val="21"/>
                <w:lang w:eastAsia="ru-RU"/>
              </w:rPr>
              <w:t>-T</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серверный адаптер </w:t>
            </w:r>
            <w:proofErr w:type="spellStart"/>
            <w:r w:rsidRPr="00FB002B">
              <w:rPr>
                <w:rFonts w:ascii="Arial" w:eastAsia="Times New Roman" w:hAnsi="Arial" w:cs="Arial"/>
                <w:color w:val="000000"/>
                <w:sz w:val="21"/>
                <w:szCs w:val="21"/>
                <w:lang w:eastAsia="ru-RU"/>
              </w:rPr>
              <w:t>Intel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Ethernet</w:t>
            </w:r>
            <w:proofErr w:type="spellEnd"/>
            <w:r w:rsidRPr="00FB002B">
              <w:rPr>
                <w:rFonts w:ascii="Arial" w:eastAsia="Times New Roman" w:hAnsi="Arial" w:cs="Arial"/>
                <w:color w:val="000000"/>
                <w:sz w:val="21"/>
                <w:szCs w:val="21"/>
                <w:lang w:eastAsia="ru-RU"/>
              </w:rPr>
              <w:t xml:space="preserve"> I350, 1</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Четырехпортовый серверный адаптер </w:t>
            </w:r>
            <w:proofErr w:type="spellStart"/>
            <w:r w:rsidRPr="00FB002B">
              <w:rPr>
                <w:rFonts w:ascii="Arial" w:eastAsia="Times New Roman" w:hAnsi="Arial" w:cs="Arial"/>
                <w:color w:val="000000"/>
                <w:sz w:val="21"/>
                <w:szCs w:val="21"/>
                <w:lang w:eastAsia="ru-RU"/>
              </w:rPr>
              <w:t>Intel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Ethernet</w:t>
            </w:r>
            <w:proofErr w:type="spellEnd"/>
            <w:r w:rsidRPr="00FB002B">
              <w:rPr>
                <w:rFonts w:ascii="Arial" w:eastAsia="Times New Roman" w:hAnsi="Arial" w:cs="Arial"/>
                <w:color w:val="000000"/>
                <w:sz w:val="21"/>
                <w:szCs w:val="21"/>
                <w:lang w:eastAsia="ru-RU"/>
              </w:rPr>
              <w:t xml:space="preserve"> I350, 1</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серверный адаптер </w:t>
            </w:r>
            <w:proofErr w:type="spellStart"/>
            <w:r w:rsidRPr="00FB002B">
              <w:rPr>
                <w:rFonts w:ascii="Arial" w:eastAsia="Times New Roman" w:hAnsi="Arial" w:cs="Arial"/>
                <w:color w:val="000000"/>
                <w:sz w:val="21"/>
                <w:szCs w:val="21"/>
                <w:lang w:eastAsia="ru-RU"/>
              </w:rPr>
              <w:t>Intel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Ethernet</w:t>
            </w:r>
            <w:proofErr w:type="spellEnd"/>
            <w:r w:rsidRPr="00FB002B">
              <w:rPr>
                <w:rFonts w:ascii="Arial" w:eastAsia="Times New Roman" w:hAnsi="Arial" w:cs="Arial"/>
                <w:color w:val="000000"/>
                <w:sz w:val="21"/>
                <w:szCs w:val="21"/>
                <w:lang w:eastAsia="ru-RU"/>
              </w:rPr>
              <w:t xml:space="preserve"> X540, 10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 xml:space="preserve">Гбит/с, </w:t>
            </w:r>
            <w:proofErr w:type="spellStart"/>
            <w:r w:rsidRPr="00FB002B">
              <w:rPr>
                <w:rFonts w:ascii="Arial" w:eastAsia="Times New Roman" w:hAnsi="Arial" w:cs="Arial"/>
                <w:color w:val="000000"/>
                <w:sz w:val="21"/>
                <w:szCs w:val="21"/>
                <w:lang w:eastAsia="ru-RU"/>
              </w:rPr>
              <w:t>Base</w:t>
            </w:r>
            <w:proofErr w:type="spellEnd"/>
            <w:r w:rsidRPr="00FB002B">
              <w:rPr>
                <w:rFonts w:ascii="Arial" w:eastAsia="Times New Roman" w:hAnsi="Arial" w:cs="Arial"/>
                <w:color w:val="000000"/>
                <w:sz w:val="21"/>
                <w:szCs w:val="21"/>
                <w:lang w:eastAsia="ru-RU"/>
              </w:rPr>
              <w:t>-T</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Серверный сетевой адаптер </w:t>
            </w:r>
            <w:proofErr w:type="spellStart"/>
            <w:r w:rsidRPr="00FB002B">
              <w:rPr>
                <w:rFonts w:ascii="Arial" w:eastAsia="Times New Roman" w:hAnsi="Arial" w:cs="Arial"/>
                <w:color w:val="000000"/>
                <w:sz w:val="21"/>
                <w:szCs w:val="21"/>
                <w:lang w:eastAsia="ru-RU"/>
              </w:rPr>
              <w:t>Mellanox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ConnectX</w:t>
            </w:r>
            <w:proofErr w:type="spellEnd"/>
            <w:r w:rsidRPr="00FB002B">
              <w:rPr>
                <w:rFonts w:ascii="Arial" w:eastAsia="Times New Roman" w:hAnsi="Arial" w:cs="Arial"/>
                <w:color w:val="000000"/>
                <w:sz w:val="21"/>
                <w:szCs w:val="21"/>
                <w:lang w:eastAsia="ru-RU"/>
              </w:rPr>
              <w:t>®-3, два порта, 10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прямое подключение/SFP+</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Серверный сетевой адаптер </w:t>
            </w:r>
            <w:proofErr w:type="spellStart"/>
            <w:r w:rsidRPr="00FB002B">
              <w:rPr>
                <w:rFonts w:ascii="Arial" w:eastAsia="Times New Roman" w:hAnsi="Arial" w:cs="Arial"/>
                <w:color w:val="000000"/>
                <w:sz w:val="21"/>
                <w:szCs w:val="21"/>
                <w:lang w:eastAsia="ru-RU"/>
              </w:rPr>
              <w:t>Mellanox</w:t>
            </w:r>
            <w:proofErr w:type="spellEnd"/>
            <w:r w:rsidRPr="00FB002B">
              <w:rPr>
                <w:rFonts w:ascii="Arial" w:eastAsia="Times New Roman" w:hAnsi="Arial" w:cs="Arial"/>
                <w:color w:val="000000"/>
                <w:sz w:val="21"/>
                <w:szCs w:val="21"/>
                <w:lang w:eastAsia="ru-RU"/>
              </w:rPr>
              <w:t xml:space="preserve"> ConnectX-3, два порта, 40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прямое подключение/QSFP</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Однопортовый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Emulex</w:t>
            </w:r>
            <w:proofErr w:type="spellEnd"/>
            <w:r w:rsidRPr="00FB002B">
              <w:rPr>
                <w:rFonts w:ascii="Arial" w:eastAsia="Times New Roman" w:hAnsi="Arial" w:cs="Arial"/>
                <w:color w:val="000000"/>
                <w:sz w:val="21"/>
                <w:szCs w:val="21"/>
                <w:lang w:eastAsia="ru-RU"/>
              </w:rPr>
              <w:t>® LPE 12000, 8</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Emulex</w:t>
            </w:r>
            <w:proofErr w:type="spellEnd"/>
            <w:r w:rsidRPr="00FB002B">
              <w:rPr>
                <w:rFonts w:ascii="Arial" w:eastAsia="Times New Roman" w:hAnsi="Arial" w:cs="Arial"/>
                <w:color w:val="000000"/>
                <w:sz w:val="21"/>
                <w:szCs w:val="21"/>
                <w:lang w:eastAsia="ru-RU"/>
              </w:rPr>
              <w:t xml:space="preserve"> LPE 12002, 8</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Однопортовый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Emulex</w:t>
            </w:r>
            <w:proofErr w:type="spellEnd"/>
            <w:r w:rsidRPr="00FB002B">
              <w:rPr>
                <w:rFonts w:ascii="Arial" w:eastAsia="Times New Roman" w:hAnsi="Arial" w:cs="Arial"/>
                <w:color w:val="000000"/>
                <w:sz w:val="21"/>
                <w:szCs w:val="21"/>
                <w:lang w:eastAsia="ru-RU"/>
              </w:rPr>
              <w:t xml:space="preserve"> LPe16000B, 16</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Emulex</w:t>
            </w:r>
            <w:proofErr w:type="spellEnd"/>
            <w:r w:rsidRPr="00FB002B">
              <w:rPr>
                <w:rFonts w:ascii="Arial" w:eastAsia="Times New Roman" w:hAnsi="Arial" w:cs="Arial"/>
                <w:color w:val="000000"/>
                <w:sz w:val="21"/>
                <w:szCs w:val="21"/>
                <w:lang w:eastAsia="ru-RU"/>
              </w:rPr>
              <w:t xml:space="preserve"> LPe16002B, 16</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адаптер для конвергентных сетей </w:t>
            </w:r>
            <w:proofErr w:type="spellStart"/>
            <w:r w:rsidRPr="00FB002B">
              <w:rPr>
                <w:rFonts w:ascii="Arial" w:eastAsia="Times New Roman" w:hAnsi="Arial" w:cs="Arial"/>
                <w:color w:val="000000"/>
                <w:sz w:val="21"/>
                <w:szCs w:val="21"/>
                <w:lang w:eastAsia="ru-RU"/>
              </w:rPr>
              <w:t>Emulex</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OneConnect</w:t>
            </w:r>
            <w:proofErr w:type="spellEnd"/>
            <w:r w:rsidRPr="00FB002B">
              <w:rPr>
                <w:rFonts w:ascii="Arial" w:eastAsia="Times New Roman" w:hAnsi="Arial" w:cs="Arial"/>
                <w:color w:val="000000"/>
                <w:sz w:val="21"/>
                <w:szCs w:val="21"/>
                <w:lang w:eastAsia="ru-RU"/>
              </w:rPr>
              <w:t xml:space="preserve"> OCe14102-U1-D 10</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 xml:space="preserve">Гбит/с (плата </w:t>
            </w:r>
            <w:proofErr w:type="spellStart"/>
            <w:r w:rsidRPr="00FB002B">
              <w:rPr>
                <w:rFonts w:ascii="Arial" w:eastAsia="Times New Roman" w:hAnsi="Arial" w:cs="Arial"/>
                <w:color w:val="000000"/>
                <w:sz w:val="21"/>
                <w:szCs w:val="21"/>
                <w:lang w:eastAsia="ru-RU"/>
              </w:rPr>
              <w:t>PCIe</w:t>
            </w:r>
            <w:proofErr w:type="spellEnd"/>
            <w:r w:rsidRPr="00FB002B">
              <w:rPr>
                <w:rFonts w:ascii="Arial" w:eastAsia="Times New Roman" w:hAnsi="Arial" w:cs="Arial"/>
                <w:color w:val="000000"/>
                <w:sz w:val="21"/>
                <w:szCs w:val="21"/>
                <w:lang w:eastAsia="ru-RU"/>
              </w:rPr>
              <w:t>)</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Однопортовый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QLogic</w:t>
            </w:r>
            <w:proofErr w:type="spellEnd"/>
            <w:r w:rsidRPr="00FB002B">
              <w:rPr>
                <w:rFonts w:ascii="Arial" w:eastAsia="Times New Roman" w:hAnsi="Arial" w:cs="Arial"/>
                <w:color w:val="000000"/>
                <w:sz w:val="21"/>
                <w:szCs w:val="21"/>
                <w:lang w:eastAsia="ru-RU"/>
              </w:rPr>
              <w:t>® 2560, 8</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QLogic</w:t>
            </w:r>
            <w:proofErr w:type="spellEnd"/>
            <w:r w:rsidRPr="00FB002B">
              <w:rPr>
                <w:rFonts w:ascii="Arial" w:eastAsia="Times New Roman" w:hAnsi="Arial" w:cs="Arial"/>
                <w:color w:val="000000"/>
                <w:sz w:val="21"/>
                <w:szCs w:val="21"/>
                <w:lang w:eastAsia="ru-RU"/>
              </w:rPr>
              <w:t xml:space="preserve"> 2562, 8</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Однопортовый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Qlogic</w:t>
            </w:r>
            <w:proofErr w:type="spellEnd"/>
            <w:r w:rsidRPr="00FB002B">
              <w:rPr>
                <w:rFonts w:ascii="Arial" w:eastAsia="Times New Roman" w:hAnsi="Arial" w:cs="Arial"/>
                <w:color w:val="000000"/>
                <w:sz w:val="21"/>
                <w:szCs w:val="21"/>
                <w:lang w:eastAsia="ru-RU"/>
              </w:rPr>
              <w:t xml:space="preserve"> 2660, 16</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 максимальной высоты</w:t>
            </w:r>
          </w:p>
          <w:p w:rsidR="00FB002B" w:rsidRPr="00FB002B" w:rsidRDefault="00FB002B" w:rsidP="00FB002B">
            <w:pPr>
              <w:numPr>
                <w:ilvl w:val="0"/>
                <w:numId w:val="12"/>
              </w:numPr>
              <w:spacing w:after="0" w:line="240" w:lineRule="auto"/>
              <w:ind w:left="0"/>
              <w:rPr>
                <w:rFonts w:ascii="Arial" w:eastAsia="Times New Roman" w:hAnsi="Arial" w:cs="Arial"/>
                <w:color w:val="000000"/>
                <w:sz w:val="21"/>
                <w:szCs w:val="21"/>
                <w:lang w:eastAsia="ru-RU"/>
              </w:rPr>
            </w:pPr>
            <w:proofErr w:type="spellStart"/>
            <w:r w:rsidRPr="00FB002B">
              <w:rPr>
                <w:rFonts w:ascii="Arial" w:eastAsia="Times New Roman" w:hAnsi="Arial" w:cs="Arial"/>
                <w:color w:val="000000"/>
                <w:sz w:val="21"/>
                <w:szCs w:val="21"/>
                <w:lang w:eastAsia="ru-RU"/>
              </w:rPr>
              <w:t>Двухпортовый</w:t>
            </w:r>
            <w:proofErr w:type="spellEnd"/>
            <w:r w:rsidRPr="00FB002B">
              <w:rPr>
                <w:rFonts w:ascii="Arial" w:eastAsia="Times New Roman" w:hAnsi="Arial" w:cs="Arial"/>
                <w:color w:val="000000"/>
                <w:sz w:val="21"/>
                <w:szCs w:val="21"/>
                <w:lang w:eastAsia="ru-RU"/>
              </w:rPr>
              <w:t xml:space="preserve"> адаптер главной шины </w:t>
            </w:r>
            <w:proofErr w:type="spellStart"/>
            <w:r w:rsidRPr="00FB002B">
              <w:rPr>
                <w:rFonts w:ascii="Arial" w:eastAsia="Times New Roman" w:hAnsi="Arial" w:cs="Arial"/>
                <w:color w:val="000000"/>
                <w:sz w:val="21"/>
                <w:szCs w:val="21"/>
                <w:lang w:eastAsia="ru-RU"/>
              </w:rPr>
              <w:t>Qlogic</w:t>
            </w:r>
            <w:proofErr w:type="spellEnd"/>
            <w:r w:rsidRPr="00FB002B">
              <w:rPr>
                <w:rFonts w:ascii="Arial" w:eastAsia="Times New Roman" w:hAnsi="Arial" w:cs="Arial"/>
                <w:color w:val="000000"/>
                <w:sz w:val="21"/>
                <w:szCs w:val="21"/>
                <w:lang w:eastAsia="ru-RU"/>
              </w:rPr>
              <w:t xml:space="preserve"> 2662, 16</w:t>
            </w:r>
            <w:r w:rsidRPr="00FB002B">
              <w:rPr>
                <w:rFonts w:ascii="Tahoma" w:eastAsia="Times New Roman" w:hAnsi="Tahoma" w:cs="Tahoma"/>
                <w:color w:val="000000"/>
                <w:sz w:val="21"/>
                <w:szCs w:val="21"/>
                <w:lang w:eastAsia="ru-RU"/>
              </w:rPr>
              <w:t>�</w:t>
            </w:r>
            <w:r w:rsidRPr="00FB002B">
              <w:rPr>
                <w:rFonts w:ascii="Arial" w:eastAsia="Times New Roman" w:hAnsi="Arial" w:cs="Arial"/>
                <w:color w:val="000000"/>
                <w:sz w:val="21"/>
                <w:szCs w:val="21"/>
                <w:lang w:eastAsia="ru-RU"/>
              </w:rPr>
              <w:t>Гбит/с, с FC-интерфейсом, максимальной высоты</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lastRenderedPageBreak/>
              <w:t>Питание</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1600 Вт переменного тока, 86 мм, 13-ое поколение (платиновый+)</w:t>
            </w:r>
          </w:p>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1100 Вт переменного тока, 86 мм, 13-ое поколение (платиновый+)</w:t>
            </w:r>
          </w:p>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1100 Вт постоянного тока, 86 мм, 12-ое поколение (золотой)</w:t>
            </w:r>
          </w:p>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750 Вт переменного тока, 86 мм, 12-ое поколение (платиновый)</w:t>
            </w:r>
          </w:p>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750 Вт переменного тока, 86 мм, 12-ое поколение (бриллиантовый)</w:t>
            </w:r>
          </w:p>
          <w:p w:rsidR="00FB002B" w:rsidRPr="00FB002B" w:rsidRDefault="00FB002B" w:rsidP="00FB002B">
            <w:pPr>
              <w:numPr>
                <w:ilvl w:val="0"/>
                <w:numId w:val="13"/>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495 Вт переменного тока, 86 мм, 12-ое поколение (платиновый)</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Доступность</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Память с поддержкой технологии ECC</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Жесткие диски с возможностью горячей замены</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Tahoma" w:eastAsia="Times New Roman" w:hAnsi="Tahoma" w:cs="Tahoma"/>
                <w:color w:val="000000"/>
                <w:sz w:val="21"/>
                <w:szCs w:val="21"/>
                <w:lang w:eastAsia="ru-RU"/>
              </w:rPr>
              <w:t>�</w:t>
            </w:r>
            <w:proofErr w:type="spellStart"/>
            <w:r w:rsidRPr="00FB002B">
              <w:rPr>
                <w:rFonts w:ascii="Arial" w:eastAsia="Times New Roman" w:hAnsi="Arial" w:cs="Arial"/>
                <w:color w:val="000000"/>
                <w:sz w:val="21"/>
                <w:szCs w:val="21"/>
                <w:lang w:eastAsia="ru-RU"/>
              </w:rPr>
              <w:t>езервная</w:t>
            </w:r>
            <w:proofErr w:type="spellEnd"/>
            <w:r w:rsidRPr="00FB002B">
              <w:rPr>
                <w:rFonts w:ascii="Arial" w:eastAsia="Times New Roman" w:hAnsi="Arial" w:cs="Arial"/>
                <w:color w:val="000000"/>
                <w:sz w:val="21"/>
                <w:szCs w:val="21"/>
                <w:lang w:eastAsia="ru-RU"/>
              </w:rPr>
              <w:t xml:space="preserve"> система охлаждения с возможностью горячей замены</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Tahoma" w:eastAsia="Times New Roman" w:hAnsi="Tahoma" w:cs="Tahoma"/>
                <w:color w:val="000000"/>
                <w:sz w:val="21"/>
                <w:szCs w:val="21"/>
                <w:lang w:eastAsia="ru-RU"/>
              </w:rPr>
              <w:t>�</w:t>
            </w:r>
            <w:proofErr w:type="spellStart"/>
            <w:r w:rsidRPr="00FB002B">
              <w:rPr>
                <w:rFonts w:ascii="Arial" w:eastAsia="Times New Roman" w:hAnsi="Arial" w:cs="Arial"/>
                <w:color w:val="000000"/>
                <w:sz w:val="21"/>
                <w:szCs w:val="21"/>
                <w:lang w:eastAsia="ru-RU"/>
              </w:rPr>
              <w:t>езервные</w:t>
            </w:r>
            <w:proofErr w:type="spellEnd"/>
            <w:r w:rsidRPr="00FB002B">
              <w:rPr>
                <w:rFonts w:ascii="Arial" w:eastAsia="Times New Roman" w:hAnsi="Arial" w:cs="Arial"/>
                <w:color w:val="000000"/>
                <w:sz w:val="21"/>
                <w:szCs w:val="21"/>
                <w:lang w:eastAsia="ru-RU"/>
              </w:rPr>
              <w:t xml:space="preserve"> блоки питания с возможностью горячей замены</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iDRAC8</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Два внутренних модуля SD</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Поддержка функции исправления данных в одном устройстве (SDDC)</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Запасной ранг</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Доступ внутрь корпуса без помощи инструментов</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Поддержка кластеризации и виртуализации с высокой отказоустойчивостью</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Упреждающие оповещения для эффективного управления системами</w:t>
            </w:r>
          </w:p>
          <w:p w:rsidR="00FB002B" w:rsidRPr="00FB002B" w:rsidRDefault="00FB002B" w:rsidP="00FB002B">
            <w:pPr>
              <w:numPr>
                <w:ilvl w:val="0"/>
                <w:numId w:val="14"/>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iDRAC8 с контроллером жизненного цикла</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proofErr w:type="spellStart"/>
            <w:r w:rsidRPr="00FB002B">
              <w:rPr>
                <w:rFonts w:ascii="Arial" w:eastAsia="Times New Roman" w:hAnsi="Arial" w:cs="Arial"/>
                <w:b/>
                <w:bCs/>
                <w:color w:val="000000"/>
                <w:sz w:val="21"/>
                <w:szCs w:val="21"/>
                <w:lang w:eastAsia="ru-RU"/>
              </w:rPr>
              <w:t>Видеоплата</w:t>
            </w:r>
            <w:proofErr w:type="spellEnd"/>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5"/>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Тип видео: встроенная графическая плата </w:t>
            </w:r>
            <w:proofErr w:type="spellStart"/>
            <w:r w:rsidRPr="00FB002B">
              <w:rPr>
                <w:rFonts w:ascii="Arial" w:eastAsia="Times New Roman" w:hAnsi="Arial" w:cs="Arial"/>
                <w:color w:val="000000"/>
                <w:sz w:val="21"/>
                <w:szCs w:val="21"/>
                <w:lang w:eastAsia="ru-RU"/>
              </w:rPr>
              <w:t>Matrox</w:t>
            </w:r>
            <w:proofErr w:type="spellEnd"/>
            <w:r w:rsidRPr="00FB002B">
              <w:rPr>
                <w:rFonts w:ascii="Arial" w:eastAsia="Times New Roman" w:hAnsi="Arial" w:cs="Arial"/>
                <w:color w:val="000000"/>
                <w:sz w:val="21"/>
                <w:szCs w:val="21"/>
                <w:lang w:eastAsia="ru-RU"/>
              </w:rPr>
              <w:t xml:space="preserve"> G200 с iDRAC8</w:t>
            </w:r>
          </w:p>
          <w:p w:rsidR="00FB002B" w:rsidRPr="00FB002B" w:rsidRDefault="00FB002B" w:rsidP="00FB002B">
            <w:pPr>
              <w:numPr>
                <w:ilvl w:val="0"/>
                <w:numId w:val="15"/>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Видеопамять: 16 Мбайт, используемые совместно с памятью приложения iDRAC8</w:t>
            </w:r>
          </w:p>
          <w:p w:rsidR="00FB002B" w:rsidRPr="00FB002B" w:rsidRDefault="00FB002B" w:rsidP="00FB002B">
            <w:pPr>
              <w:numPr>
                <w:ilvl w:val="0"/>
                <w:numId w:val="15"/>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Графические процессоры: поддержка до четырех опциональных внутренних ускорителей графического процессора мощностью 300 Вт</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t>Корпус</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Форм-фактор: 5U</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Высота: 8,73 см (3,44 дюйма)</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Ширина: 48,2 см (18,98 дюйма)</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Длина: 75,09 см (29,56 дюйма)</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Максимальный вес</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Вся система T630 с 2,5-дюймовым жестким диском:</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макс. 2,5 дюйма x 16 (6 вентиляторов), 37,57 кг/82,75 фунта;</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макс. 2,5 дюйма x 32 (6 вентиляторов) 40,55 кг/89,32 фунта.</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Вся система T630 с 3,5-дюймовым жестким диском:</w:t>
            </w:r>
          </w:p>
          <w:p w:rsidR="00FB002B" w:rsidRPr="00FB002B" w:rsidRDefault="00FB002B" w:rsidP="00FB002B">
            <w:pPr>
              <w:numPr>
                <w:ilvl w:val="0"/>
                <w:numId w:val="16"/>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макс. 3,5 дюйма x 18 (6 вентиляторов), 49,65 кг/109,36 фунта</w:t>
            </w:r>
          </w:p>
        </w:tc>
      </w:tr>
      <w:tr w:rsidR="00FB002B" w:rsidRPr="00FB002B" w:rsidTr="00FB002B">
        <w:tc>
          <w:tcPr>
            <w:tcW w:w="4200" w:type="dxa"/>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spacing w:after="0" w:line="240" w:lineRule="auto"/>
              <w:rPr>
                <w:rFonts w:ascii="Arial" w:eastAsia="Times New Roman" w:hAnsi="Arial" w:cs="Arial"/>
                <w:b/>
                <w:bCs/>
                <w:color w:val="000000"/>
                <w:sz w:val="21"/>
                <w:szCs w:val="21"/>
                <w:lang w:eastAsia="ru-RU"/>
              </w:rPr>
            </w:pPr>
            <w:r w:rsidRPr="00FB002B">
              <w:rPr>
                <w:rFonts w:ascii="Arial" w:eastAsia="Times New Roman" w:hAnsi="Arial" w:cs="Arial"/>
                <w:b/>
                <w:bCs/>
                <w:color w:val="000000"/>
                <w:sz w:val="21"/>
                <w:szCs w:val="21"/>
                <w:lang w:eastAsia="ru-RU"/>
              </w:rPr>
              <w:lastRenderedPageBreak/>
              <w:t>Управление</w:t>
            </w:r>
          </w:p>
        </w:tc>
        <w:tc>
          <w:tcPr>
            <w:tcW w:w="0" w:type="auto"/>
            <w:tcBorders>
              <w:top w:val="single" w:sz="12" w:space="0" w:color="E7E4E4"/>
              <w:left w:val="nil"/>
              <w:bottom w:val="nil"/>
              <w:right w:val="nil"/>
            </w:tcBorders>
            <w:shd w:val="clear" w:color="auto" w:fill="FFFFFF"/>
            <w:tcMar>
              <w:top w:w="225" w:type="dxa"/>
              <w:left w:w="450" w:type="dxa"/>
              <w:bottom w:w="225" w:type="dxa"/>
              <w:right w:w="450" w:type="dxa"/>
            </w:tcMar>
            <w:hideMark/>
          </w:tcPr>
          <w:p w:rsidR="00FB002B" w:rsidRPr="00FB002B" w:rsidRDefault="00FB002B" w:rsidP="00FB002B">
            <w:pPr>
              <w:numPr>
                <w:ilvl w:val="0"/>
                <w:numId w:val="17"/>
              </w:numPr>
              <w:spacing w:after="0" w:line="240" w:lineRule="auto"/>
              <w:ind w:left="0"/>
              <w:rPr>
                <w:rFonts w:ascii="Arial" w:eastAsia="Times New Roman" w:hAnsi="Arial" w:cs="Arial"/>
                <w:color w:val="000000"/>
                <w:sz w:val="21"/>
                <w:szCs w:val="21"/>
                <w:lang w:eastAsia="ru-RU"/>
              </w:rPr>
            </w:pPr>
            <w:r w:rsidRPr="00FB002B">
              <w:rPr>
                <w:rFonts w:ascii="Arial" w:eastAsia="Times New Roman" w:hAnsi="Arial" w:cs="Arial"/>
                <w:color w:val="000000"/>
                <w:sz w:val="21"/>
                <w:szCs w:val="21"/>
                <w:lang w:eastAsia="ru-RU"/>
              </w:rPr>
              <w:t xml:space="preserve">Портфель решений для управления системами </w:t>
            </w:r>
            <w:proofErr w:type="spellStart"/>
            <w:r w:rsidRPr="00FB002B">
              <w:rPr>
                <w:rFonts w:ascii="Arial" w:eastAsia="Times New Roman" w:hAnsi="Arial" w:cs="Arial"/>
                <w:color w:val="000000"/>
                <w:sz w:val="21"/>
                <w:szCs w:val="21"/>
                <w:lang w:eastAsia="ru-RU"/>
              </w:rPr>
              <w:t>Dell</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OpenManage</w:t>
            </w:r>
            <w:proofErr w:type="spellEnd"/>
            <w:r w:rsidRPr="00FB002B">
              <w:rPr>
                <w:rFonts w:ascii="Arial" w:eastAsia="Times New Roman" w:hAnsi="Arial" w:cs="Arial"/>
                <w:color w:val="000000"/>
                <w:sz w:val="21"/>
                <w:szCs w:val="21"/>
                <w:lang w:eastAsia="ru-RU"/>
              </w:rPr>
              <w:t xml:space="preserve">, в том </w:t>
            </w:r>
            <w:proofErr w:type="spellStart"/>
            <w:r w:rsidRPr="00FB002B">
              <w:rPr>
                <w:rFonts w:ascii="Arial" w:eastAsia="Times New Roman" w:hAnsi="Arial" w:cs="Arial"/>
                <w:color w:val="000000"/>
                <w:sz w:val="21"/>
                <w:szCs w:val="21"/>
                <w:lang w:eastAsia="ru-RU"/>
              </w:rPr>
              <w:t>числе:консоль</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OpenManage</w:t>
            </w:r>
            <w:proofErr w:type="spellEnd"/>
            <w:r w:rsidRPr="00FB002B">
              <w:rPr>
                <w:rFonts w:ascii="Arial" w:eastAsia="Times New Roman" w:hAnsi="Arial" w:cs="Arial"/>
                <w:color w:val="000000"/>
                <w:sz w:val="21"/>
                <w:szCs w:val="21"/>
                <w:lang w:eastAsia="ru-RU"/>
              </w:rPr>
              <w:t xml:space="preserve"> </w:t>
            </w:r>
            <w:proofErr w:type="spellStart"/>
            <w:r w:rsidRPr="00FB002B">
              <w:rPr>
                <w:rFonts w:ascii="Arial" w:eastAsia="Times New Roman" w:hAnsi="Arial" w:cs="Arial"/>
                <w:color w:val="000000"/>
                <w:sz w:val="21"/>
                <w:szCs w:val="21"/>
                <w:lang w:eastAsia="ru-RU"/>
              </w:rPr>
              <w:t>Essentials</w:t>
            </w:r>
            <w:proofErr w:type="spellEnd"/>
            <w:r w:rsidRPr="00FB002B">
              <w:rPr>
                <w:rFonts w:ascii="Arial" w:eastAsia="Times New Roman" w:hAnsi="Arial" w:cs="Arial"/>
                <w:color w:val="000000"/>
                <w:sz w:val="21"/>
                <w:szCs w:val="21"/>
                <w:lang w:eastAsia="ru-RU"/>
              </w:rPr>
              <w:t>, iDRAC8 с контроллером жизненного цикла.</w:t>
            </w:r>
          </w:p>
        </w:tc>
      </w:tr>
    </w:tbl>
    <w:p w:rsidR="00FB002B" w:rsidRDefault="00FB002B"/>
    <w:p w:rsidR="00FB002B" w:rsidRDefault="00FB002B"/>
    <w:p w:rsidR="00FB002B" w:rsidRPr="00FB002B" w:rsidRDefault="00FB002B" w:rsidP="00FB002B">
      <w:pPr>
        <w:numPr>
          <w:ilvl w:val="0"/>
          <w:numId w:val="18"/>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drawing>
          <wp:inline distT="0" distB="0" distL="0" distR="0">
            <wp:extent cx="4762500" cy="3590925"/>
            <wp:effectExtent l="0" t="0" r="0" b="9525"/>
            <wp:docPr id="1" name="Рисунок 1"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16Bx2.5in E5-2630v4 (2.2GHz, 25M, 8GT/s, 10C),16GB (1*16GB) 2400MHz DR, H730 1</w:t>
      </w:r>
      <w:proofErr w:type="gramStart"/>
      <w:r w:rsidRPr="00FB002B">
        <w:rPr>
          <w:rFonts w:ascii="Arial" w:eastAsia="Times New Roman" w:hAnsi="Arial" w:cs="Arial"/>
          <w:color w:val="000000"/>
          <w:sz w:val="21"/>
          <w:szCs w:val="21"/>
          <w:lang w:val="en-US" w:eastAsia="ru-RU"/>
        </w:rPr>
        <w:t>GB,DVD</w:t>
      </w:r>
      <w:proofErr w:type="gramEnd"/>
      <w:r w:rsidRPr="00FB002B">
        <w:rPr>
          <w:rFonts w:ascii="Arial" w:eastAsia="Times New Roman" w:hAnsi="Arial" w:cs="Arial"/>
          <w:color w:val="000000"/>
          <w:sz w:val="21"/>
          <w:szCs w:val="21"/>
          <w:lang w:val="en-US" w:eastAsia="ru-RU"/>
        </w:rPr>
        <w:t>+/-RW, 600GB SAS 10k 12Gbps 2.5in HDD , iDRAC8 Enterprise, RPS 750W,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210-ACWJ-016</w:t>
      </w:r>
    </w:p>
    <w:p w:rsidR="00FB002B" w:rsidRPr="00FB002B" w:rsidRDefault="00FB002B" w:rsidP="00FB002B">
      <w:pPr>
        <w:numPr>
          <w:ilvl w:val="0"/>
          <w:numId w:val="19"/>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lastRenderedPageBreak/>
        <w:drawing>
          <wp:inline distT="0" distB="0" distL="0" distR="0">
            <wp:extent cx="4762500" cy="3590925"/>
            <wp:effectExtent l="0" t="0" r="0" b="9525"/>
            <wp:docPr id="2" name="Рисунок 2"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16Bx2.5in E5-2640v4 (2.4GHz, 25M, 8GT/s, 10C), 16GB (1*16GB) 2400MHz DR RDIMM, H730P 2GB NV Cache, DVD+/-RW SATA Internal, 1.2TB SAS 10k 2.5in Hot-plug HD, iDRAC8 Enterprise, RPS 1100W,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210-ACWJ-024</w:t>
      </w:r>
    </w:p>
    <w:p w:rsidR="00FB002B" w:rsidRPr="00FB002B" w:rsidRDefault="00FB002B" w:rsidP="00FB002B">
      <w:pPr>
        <w:numPr>
          <w:ilvl w:val="0"/>
          <w:numId w:val="20"/>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drawing>
          <wp:inline distT="0" distB="0" distL="0" distR="0">
            <wp:extent cx="4762500" cy="3590925"/>
            <wp:effectExtent l="0" t="0" r="0" b="9525"/>
            <wp:docPr id="3" name="Рисунок 3"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lastRenderedPageBreak/>
        <w:t>Сервер</w:t>
      </w:r>
      <w:r w:rsidRPr="00FB002B">
        <w:rPr>
          <w:rFonts w:ascii="Arial" w:eastAsia="Times New Roman" w:hAnsi="Arial" w:cs="Arial"/>
          <w:color w:val="000000"/>
          <w:sz w:val="21"/>
          <w:szCs w:val="21"/>
          <w:lang w:val="en-US" w:eastAsia="ru-RU"/>
        </w:rPr>
        <w:t xml:space="preserve"> Dell PowerEdge T630 18Bx3.5'' E5-2620v4 (2.1GHz, 20M, 8GT/s, 8C),16GB (1*16GB) 2400MHz DR, H730 1</w:t>
      </w:r>
      <w:proofErr w:type="gramStart"/>
      <w:r w:rsidRPr="00FB002B">
        <w:rPr>
          <w:rFonts w:ascii="Arial" w:eastAsia="Times New Roman" w:hAnsi="Arial" w:cs="Arial"/>
          <w:color w:val="000000"/>
          <w:sz w:val="21"/>
          <w:szCs w:val="21"/>
          <w:lang w:val="en-US" w:eastAsia="ru-RU"/>
        </w:rPr>
        <w:t>GB,DVD</w:t>
      </w:r>
      <w:proofErr w:type="gramEnd"/>
      <w:r w:rsidRPr="00FB002B">
        <w:rPr>
          <w:rFonts w:ascii="Arial" w:eastAsia="Times New Roman" w:hAnsi="Arial" w:cs="Arial"/>
          <w:color w:val="000000"/>
          <w:sz w:val="21"/>
          <w:szCs w:val="21"/>
          <w:lang w:val="en-US" w:eastAsia="ru-RU"/>
        </w:rPr>
        <w:t>+/-RW, 1TB SATA 7.2k 6Gbps 3.5'' HDD , iDRAC8 Enterprise, RPS 2*750W,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210-ACWJ-026</w:t>
      </w:r>
    </w:p>
    <w:p w:rsidR="00FB002B" w:rsidRPr="00FB002B" w:rsidRDefault="00FB002B" w:rsidP="00FB002B">
      <w:pPr>
        <w:numPr>
          <w:ilvl w:val="0"/>
          <w:numId w:val="21"/>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drawing>
          <wp:inline distT="0" distB="0" distL="0" distR="0">
            <wp:extent cx="4762500" cy="3590925"/>
            <wp:effectExtent l="0" t="0" r="0" b="9525"/>
            <wp:docPr id="4" name="Рисунок 4"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18Bx3.5'' E5-2640v4 (2.4GHz, 25M, 8GT/s, 10C), 16GB (1*16GB) 2400MHz DR, H730P 2GB NV Cache, DVD+/-RW SATA Internal, 1.2TB SAS 10k 2.5in Hot-plug HD 3.5in </w:t>
      </w:r>
      <w:proofErr w:type="spellStart"/>
      <w:r w:rsidRPr="00FB002B">
        <w:rPr>
          <w:rFonts w:ascii="Arial" w:eastAsia="Times New Roman" w:hAnsi="Arial" w:cs="Arial"/>
          <w:color w:val="000000"/>
          <w:sz w:val="21"/>
          <w:szCs w:val="21"/>
          <w:lang w:val="en-US" w:eastAsia="ru-RU"/>
        </w:rPr>
        <w:t>Hyb</w:t>
      </w:r>
      <w:proofErr w:type="spellEnd"/>
      <w:r w:rsidRPr="00FB002B">
        <w:rPr>
          <w:rFonts w:ascii="Arial" w:eastAsia="Times New Roman" w:hAnsi="Arial" w:cs="Arial"/>
          <w:color w:val="000000"/>
          <w:sz w:val="21"/>
          <w:szCs w:val="21"/>
          <w:lang w:val="en-US" w:eastAsia="ru-RU"/>
        </w:rPr>
        <w:t xml:space="preserve"> </w:t>
      </w:r>
      <w:proofErr w:type="spellStart"/>
      <w:r w:rsidRPr="00FB002B">
        <w:rPr>
          <w:rFonts w:ascii="Arial" w:eastAsia="Times New Roman" w:hAnsi="Arial" w:cs="Arial"/>
          <w:color w:val="000000"/>
          <w:sz w:val="21"/>
          <w:szCs w:val="21"/>
          <w:lang w:val="en-US" w:eastAsia="ru-RU"/>
        </w:rPr>
        <w:t>Carr</w:t>
      </w:r>
      <w:proofErr w:type="spellEnd"/>
      <w:r w:rsidRPr="00FB002B">
        <w:rPr>
          <w:rFonts w:ascii="Arial" w:eastAsia="Times New Roman" w:hAnsi="Arial" w:cs="Arial"/>
          <w:color w:val="000000"/>
          <w:sz w:val="21"/>
          <w:szCs w:val="21"/>
          <w:lang w:val="en-US" w:eastAsia="ru-RU"/>
        </w:rPr>
        <w:t>, iDRAC8 Enterprise, RPS 1100W,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210-ACWJ-022</w:t>
      </w:r>
    </w:p>
    <w:p w:rsidR="00FB002B" w:rsidRPr="00FB002B" w:rsidRDefault="00FB002B" w:rsidP="00FB002B">
      <w:pPr>
        <w:numPr>
          <w:ilvl w:val="0"/>
          <w:numId w:val="22"/>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lastRenderedPageBreak/>
        <w:drawing>
          <wp:inline distT="0" distB="0" distL="0" distR="0">
            <wp:extent cx="4762500" cy="3590925"/>
            <wp:effectExtent l="0" t="0" r="0" b="9525"/>
            <wp:docPr id="5" name="Рисунок 5"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18Bx3.5in E5-2630v4 (2.2GHz, 25M, 8GT/s, 10C),16GB (1*16GB) 2400MHz DR, H730 1</w:t>
      </w:r>
      <w:proofErr w:type="gramStart"/>
      <w:r w:rsidRPr="00FB002B">
        <w:rPr>
          <w:rFonts w:ascii="Arial" w:eastAsia="Times New Roman" w:hAnsi="Arial" w:cs="Arial"/>
          <w:color w:val="000000"/>
          <w:sz w:val="21"/>
          <w:szCs w:val="21"/>
          <w:lang w:val="en-US" w:eastAsia="ru-RU"/>
        </w:rPr>
        <w:t>GB,DVD</w:t>
      </w:r>
      <w:proofErr w:type="gramEnd"/>
      <w:r w:rsidRPr="00FB002B">
        <w:rPr>
          <w:rFonts w:ascii="Arial" w:eastAsia="Times New Roman" w:hAnsi="Arial" w:cs="Arial"/>
          <w:color w:val="000000"/>
          <w:sz w:val="21"/>
          <w:szCs w:val="21"/>
          <w:lang w:val="en-US" w:eastAsia="ru-RU"/>
        </w:rPr>
        <w:t>+/-RW, 1TB SATA 7.2k 6Gbps 3.5in HDD , iDRAC8 Enterprise, RPS 750W,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210-ACWJ-014</w:t>
      </w:r>
    </w:p>
    <w:p w:rsidR="00FB002B" w:rsidRPr="00FB002B" w:rsidRDefault="00FB002B" w:rsidP="00FB002B">
      <w:pPr>
        <w:numPr>
          <w:ilvl w:val="0"/>
          <w:numId w:val="23"/>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drawing>
          <wp:inline distT="0" distB="0" distL="0" distR="0">
            <wp:extent cx="4762500" cy="3590925"/>
            <wp:effectExtent l="0" t="0" r="0" b="9525"/>
            <wp:docPr id="6" name="Рисунок 6"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lastRenderedPageBreak/>
        <w:t>Сервер</w:t>
      </w:r>
      <w:r w:rsidRPr="00FB002B">
        <w:rPr>
          <w:rFonts w:ascii="Arial" w:eastAsia="Times New Roman" w:hAnsi="Arial" w:cs="Arial"/>
          <w:color w:val="000000"/>
          <w:sz w:val="21"/>
          <w:szCs w:val="21"/>
          <w:lang w:val="en-US" w:eastAsia="ru-RU"/>
        </w:rPr>
        <w:t xml:space="preserve"> Dell PowerEdge T630 8Bx3.5in E5-2620v4 (2.1GHz, 20M, 8GT/s, 8C), 32GB (2*16GB) 2400MHz DR, H730 1GB NV Cache, DVD+/-RW, 1TB 7.2K RPM NLSAS 512n 3.5in HDD, iDRAC8 Enterprise, RPS 2*750W,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210-ACWJ-025</w:t>
      </w:r>
    </w:p>
    <w:p w:rsidR="00FB002B" w:rsidRPr="00FB002B" w:rsidRDefault="00FB002B" w:rsidP="00FB002B">
      <w:pPr>
        <w:numPr>
          <w:ilvl w:val="0"/>
          <w:numId w:val="24"/>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drawing>
          <wp:inline distT="0" distB="0" distL="0" distR="0">
            <wp:extent cx="4762500" cy="3590925"/>
            <wp:effectExtent l="0" t="0" r="0" b="9525"/>
            <wp:docPr id="7" name="Рисунок 7"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8Bx3.5in E5-2630v4 (2.2GHz, 25M, 8GT/s, 10C),16GB (1*16GB) 2400MHz DR, H730 1</w:t>
      </w:r>
      <w:proofErr w:type="gramStart"/>
      <w:r w:rsidRPr="00FB002B">
        <w:rPr>
          <w:rFonts w:ascii="Arial" w:eastAsia="Times New Roman" w:hAnsi="Arial" w:cs="Arial"/>
          <w:color w:val="000000"/>
          <w:sz w:val="21"/>
          <w:szCs w:val="21"/>
          <w:lang w:val="en-US" w:eastAsia="ru-RU"/>
        </w:rPr>
        <w:t>GB,DVD</w:t>
      </w:r>
      <w:proofErr w:type="gramEnd"/>
      <w:r w:rsidRPr="00FB002B">
        <w:rPr>
          <w:rFonts w:ascii="Arial" w:eastAsia="Times New Roman" w:hAnsi="Arial" w:cs="Arial"/>
          <w:color w:val="000000"/>
          <w:sz w:val="21"/>
          <w:szCs w:val="21"/>
          <w:lang w:val="en-US" w:eastAsia="ru-RU"/>
        </w:rPr>
        <w:t>+/-RW, 1TB SATA 7.2k 6Gbps 3.5in HDD , iDRAC8 Enterprise, RPS 750W,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210-ACWJ-015</w:t>
      </w:r>
    </w:p>
    <w:p w:rsidR="00FB002B" w:rsidRPr="00FB002B" w:rsidRDefault="00FB002B" w:rsidP="00FB002B">
      <w:pPr>
        <w:numPr>
          <w:ilvl w:val="0"/>
          <w:numId w:val="25"/>
        </w:numPr>
        <w:pBdr>
          <w:top w:val="single" w:sz="6" w:space="0" w:color="E6E6E6"/>
          <w:left w:val="single" w:sz="6" w:space="0" w:color="E6E6E6"/>
          <w:bottom w:val="single" w:sz="6" w:space="31" w:color="E6E6E6"/>
          <w:right w:val="single" w:sz="6" w:space="0" w:color="E6E6E6"/>
        </w:pBdr>
        <w:shd w:val="clear" w:color="auto" w:fill="FFFFFF"/>
        <w:spacing w:after="450" w:line="240" w:lineRule="auto"/>
        <w:ind w:left="0" w:right="450"/>
        <w:jc w:val="center"/>
        <w:textAlignment w:val="center"/>
        <w:rPr>
          <w:rFonts w:ascii="Arial" w:eastAsia="Times New Roman" w:hAnsi="Arial" w:cs="Arial"/>
          <w:color w:val="000000"/>
          <w:sz w:val="21"/>
          <w:szCs w:val="21"/>
          <w:lang w:eastAsia="ru-RU"/>
        </w:rPr>
      </w:pPr>
      <w:r w:rsidRPr="00FB002B">
        <w:rPr>
          <w:rFonts w:ascii="Arial" w:eastAsia="Times New Roman" w:hAnsi="Arial" w:cs="Arial"/>
          <w:noProof/>
          <w:color w:val="000000"/>
          <w:sz w:val="21"/>
          <w:szCs w:val="21"/>
          <w:lang w:eastAsia="ru-RU"/>
        </w:rPr>
        <w:lastRenderedPageBreak/>
        <w:drawing>
          <wp:inline distT="0" distB="0" distL="0" distR="0">
            <wp:extent cx="4762500" cy="3590925"/>
            <wp:effectExtent l="0" t="0" r="0" b="9525"/>
            <wp:docPr id="8" name="Рисунок 8" descr="http://itelon.ru/upload/iblock/436/Dell%20PowerEdge%20T630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telon.ru/upload/iblock/436/Dell%20PowerEdge%20T630_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rsidR="00FB002B" w:rsidRPr="00FB002B" w:rsidRDefault="00FB002B" w:rsidP="00FB002B">
      <w:pPr>
        <w:shd w:val="clear" w:color="auto" w:fill="FFFFFF"/>
        <w:spacing w:before="120" w:after="120" w:line="240" w:lineRule="auto"/>
        <w:ind w:right="450"/>
        <w:textAlignment w:val="top"/>
        <w:rPr>
          <w:rFonts w:ascii="Arial" w:eastAsia="Times New Roman" w:hAnsi="Arial" w:cs="Arial"/>
          <w:color w:val="000000"/>
          <w:sz w:val="21"/>
          <w:szCs w:val="21"/>
          <w:lang w:val="en-US" w:eastAsia="ru-RU"/>
        </w:rPr>
      </w:pPr>
      <w:r w:rsidRPr="00FB002B">
        <w:rPr>
          <w:rFonts w:ascii="Arial" w:eastAsia="Times New Roman" w:hAnsi="Arial" w:cs="Arial"/>
          <w:color w:val="000000"/>
          <w:sz w:val="21"/>
          <w:szCs w:val="21"/>
          <w:lang w:eastAsia="ru-RU"/>
        </w:rPr>
        <w:t>Сервер</w:t>
      </w:r>
      <w:r w:rsidRPr="00FB002B">
        <w:rPr>
          <w:rFonts w:ascii="Arial" w:eastAsia="Times New Roman" w:hAnsi="Arial" w:cs="Arial"/>
          <w:color w:val="000000"/>
          <w:sz w:val="21"/>
          <w:szCs w:val="21"/>
          <w:lang w:val="en-US" w:eastAsia="ru-RU"/>
        </w:rPr>
        <w:t xml:space="preserve"> Dell PowerEdge T630 8Bx3.5in E5-2640v4 (2.4GHz, 25M, 8GT/s, 10C), 32GB (2*16GB) 2400MHz DR, H730P 2GB NV Cache, DVD+/-RW SATA Internal, 1.2TB SAS 10k 2.5in Hot-plug HD 3.5in </w:t>
      </w:r>
      <w:proofErr w:type="spellStart"/>
      <w:r w:rsidRPr="00FB002B">
        <w:rPr>
          <w:rFonts w:ascii="Arial" w:eastAsia="Times New Roman" w:hAnsi="Arial" w:cs="Arial"/>
          <w:color w:val="000000"/>
          <w:sz w:val="21"/>
          <w:szCs w:val="21"/>
          <w:lang w:val="en-US" w:eastAsia="ru-RU"/>
        </w:rPr>
        <w:t>Hyb</w:t>
      </w:r>
      <w:proofErr w:type="spellEnd"/>
      <w:r w:rsidRPr="00FB002B">
        <w:rPr>
          <w:rFonts w:ascii="Arial" w:eastAsia="Times New Roman" w:hAnsi="Arial" w:cs="Arial"/>
          <w:color w:val="000000"/>
          <w:sz w:val="21"/>
          <w:szCs w:val="21"/>
          <w:lang w:val="en-US" w:eastAsia="ru-RU"/>
        </w:rPr>
        <w:t xml:space="preserve"> </w:t>
      </w:r>
      <w:proofErr w:type="spellStart"/>
      <w:r w:rsidRPr="00FB002B">
        <w:rPr>
          <w:rFonts w:ascii="Arial" w:eastAsia="Times New Roman" w:hAnsi="Arial" w:cs="Arial"/>
          <w:color w:val="000000"/>
          <w:sz w:val="21"/>
          <w:szCs w:val="21"/>
          <w:lang w:val="en-US" w:eastAsia="ru-RU"/>
        </w:rPr>
        <w:t>Carr</w:t>
      </w:r>
      <w:proofErr w:type="spellEnd"/>
      <w:r w:rsidRPr="00FB002B">
        <w:rPr>
          <w:rFonts w:ascii="Arial" w:eastAsia="Times New Roman" w:hAnsi="Arial" w:cs="Arial"/>
          <w:color w:val="000000"/>
          <w:sz w:val="21"/>
          <w:szCs w:val="21"/>
          <w:lang w:val="en-US" w:eastAsia="ru-RU"/>
        </w:rPr>
        <w:t>, iDRAC8 Enterprise, RPS 1100W, No Rails, 3Y PNBD</w:t>
      </w:r>
    </w:p>
    <w:p w:rsidR="00FB002B" w:rsidRPr="00FB002B" w:rsidRDefault="00FB002B" w:rsidP="00FB002B">
      <w:pPr>
        <w:shd w:val="clear" w:color="auto" w:fill="FFFFFF"/>
        <w:spacing w:after="0" w:line="240" w:lineRule="auto"/>
        <w:ind w:right="450"/>
        <w:textAlignment w:val="top"/>
        <w:rPr>
          <w:rFonts w:ascii="Arial" w:eastAsia="Times New Roman" w:hAnsi="Arial" w:cs="Arial"/>
          <w:color w:val="000000"/>
          <w:sz w:val="21"/>
          <w:szCs w:val="21"/>
          <w:lang w:eastAsia="ru-RU"/>
        </w:rPr>
      </w:pPr>
      <w:proofErr w:type="spellStart"/>
      <w:r w:rsidRPr="00FB002B">
        <w:rPr>
          <w:rFonts w:ascii="Arial" w:eastAsia="Times New Roman" w:hAnsi="Arial" w:cs="Arial"/>
          <w:b/>
          <w:bCs/>
          <w:color w:val="000000"/>
          <w:sz w:val="21"/>
          <w:szCs w:val="21"/>
          <w:bdr w:val="none" w:sz="0" w:space="0" w:color="auto" w:frame="1"/>
          <w:lang w:eastAsia="ru-RU"/>
        </w:rPr>
        <w:t>Партномер</w:t>
      </w:r>
      <w:proofErr w:type="spellEnd"/>
      <w:r w:rsidRPr="00FB002B">
        <w:rPr>
          <w:rFonts w:ascii="Arial" w:eastAsia="Times New Roman" w:hAnsi="Arial" w:cs="Arial"/>
          <w:b/>
          <w:bCs/>
          <w:color w:val="000000"/>
          <w:sz w:val="21"/>
          <w:szCs w:val="21"/>
          <w:bdr w:val="none" w:sz="0" w:space="0" w:color="auto" w:frame="1"/>
          <w:lang w:eastAsia="ru-RU"/>
        </w:rPr>
        <w:t>:</w:t>
      </w:r>
      <w:r w:rsidRPr="00FB002B">
        <w:rPr>
          <w:rFonts w:ascii="Arial" w:eastAsia="Times New Roman" w:hAnsi="Arial" w:cs="Arial"/>
          <w:color w:val="000000"/>
          <w:sz w:val="21"/>
          <w:szCs w:val="21"/>
          <w:lang w:eastAsia="ru-RU"/>
        </w:rPr>
        <w:t> 210-ACWJ-021</w:t>
      </w:r>
    </w:p>
    <w:p w:rsidR="00FB002B" w:rsidRDefault="00FB002B"/>
    <w:p w:rsidR="00FB002B" w:rsidRDefault="00FB002B">
      <w:r>
        <w:rPr>
          <w:noProof/>
          <w:lang w:eastAsia="ru-RU"/>
        </w:rPr>
        <w:lastRenderedPageBreak/>
        <w:drawing>
          <wp:inline distT="0" distB="0" distL="0" distR="0">
            <wp:extent cx="5934075" cy="4752975"/>
            <wp:effectExtent l="0" t="0" r="9525" b="9525"/>
            <wp:docPr id="9" name="Рисунок 9" descr="C:\Users\vkondakov\Desktop\dell_t63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kondakov\Desktop\dell_t630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r>
        <w:rPr>
          <w:noProof/>
          <w:lang w:eastAsia="ru-RU"/>
        </w:rPr>
        <w:lastRenderedPageBreak/>
        <w:drawing>
          <wp:inline distT="0" distB="0" distL="0" distR="0">
            <wp:extent cx="5934075" cy="4810125"/>
            <wp:effectExtent l="0" t="0" r="9525" b="9525"/>
            <wp:docPr id="10" name="Рисунок 10" descr="C:\Users\vkondakov\Desktop\Dell PowerEdge T630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kondakov\Desktop\Dell PowerEdge T630_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noFill/>
                    </a:ln>
                  </pic:spPr>
                </pic:pic>
              </a:graphicData>
            </a:graphic>
          </wp:inline>
        </w:drawing>
      </w:r>
      <w:r>
        <w:rPr>
          <w:noProof/>
          <w:lang w:eastAsia="ru-RU"/>
        </w:rPr>
        <w:lastRenderedPageBreak/>
        <w:drawing>
          <wp:inline distT="0" distB="0" distL="0" distR="0">
            <wp:extent cx="3438525" cy="5076825"/>
            <wp:effectExtent l="0" t="0" r="9525" b="9525"/>
            <wp:docPr id="11" name="Рисунок 11" descr="C:\Users\vkondakov\Desktop\Dell PowerEdge T630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kondakov\Desktop\Dell PowerEdge T630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5076825"/>
                    </a:xfrm>
                    <a:prstGeom prst="rect">
                      <a:avLst/>
                    </a:prstGeom>
                    <a:noFill/>
                    <a:ln>
                      <a:noFill/>
                    </a:ln>
                  </pic:spPr>
                </pic:pic>
              </a:graphicData>
            </a:graphic>
          </wp:inline>
        </w:drawing>
      </w:r>
    </w:p>
    <w:sectPr w:rsidR="00FB00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1E1"/>
    <w:multiLevelType w:val="multilevel"/>
    <w:tmpl w:val="D008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F77"/>
    <w:multiLevelType w:val="multilevel"/>
    <w:tmpl w:val="9DE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5153"/>
    <w:multiLevelType w:val="multilevel"/>
    <w:tmpl w:val="39B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0440"/>
    <w:multiLevelType w:val="multilevel"/>
    <w:tmpl w:val="6FDA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14B84"/>
    <w:multiLevelType w:val="multilevel"/>
    <w:tmpl w:val="98B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65FA"/>
    <w:multiLevelType w:val="multilevel"/>
    <w:tmpl w:val="CC5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61BEC"/>
    <w:multiLevelType w:val="multilevel"/>
    <w:tmpl w:val="B6C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21C11"/>
    <w:multiLevelType w:val="multilevel"/>
    <w:tmpl w:val="D6B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064FE"/>
    <w:multiLevelType w:val="multilevel"/>
    <w:tmpl w:val="66D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E2D4F"/>
    <w:multiLevelType w:val="multilevel"/>
    <w:tmpl w:val="F2B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D49BD"/>
    <w:multiLevelType w:val="multilevel"/>
    <w:tmpl w:val="3D2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533DB"/>
    <w:multiLevelType w:val="multilevel"/>
    <w:tmpl w:val="2E9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503B5"/>
    <w:multiLevelType w:val="multilevel"/>
    <w:tmpl w:val="EE36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42872"/>
    <w:multiLevelType w:val="multilevel"/>
    <w:tmpl w:val="B928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C3D65"/>
    <w:multiLevelType w:val="multilevel"/>
    <w:tmpl w:val="1BD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F2187"/>
    <w:multiLevelType w:val="multilevel"/>
    <w:tmpl w:val="CCB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64674"/>
    <w:multiLevelType w:val="multilevel"/>
    <w:tmpl w:val="23D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C1B2A"/>
    <w:multiLevelType w:val="multilevel"/>
    <w:tmpl w:val="88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91B33"/>
    <w:multiLevelType w:val="multilevel"/>
    <w:tmpl w:val="6800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70BE4"/>
    <w:multiLevelType w:val="multilevel"/>
    <w:tmpl w:val="B7F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F1482"/>
    <w:multiLevelType w:val="multilevel"/>
    <w:tmpl w:val="F70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B3FA3"/>
    <w:multiLevelType w:val="multilevel"/>
    <w:tmpl w:val="44B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76C5E"/>
    <w:multiLevelType w:val="multilevel"/>
    <w:tmpl w:val="53D6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87365F"/>
    <w:multiLevelType w:val="multilevel"/>
    <w:tmpl w:val="1D7C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15052"/>
    <w:multiLevelType w:val="multilevel"/>
    <w:tmpl w:val="47B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8"/>
  </w:num>
  <w:num w:numId="4">
    <w:abstractNumId w:val="5"/>
  </w:num>
  <w:num w:numId="5">
    <w:abstractNumId w:val="23"/>
  </w:num>
  <w:num w:numId="6">
    <w:abstractNumId w:val="7"/>
  </w:num>
  <w:num w:numId="7">
    <w:abstractNumId w:val="16"/>
  </w:num>
  <w:num w:numId="8">
    <w:abstractNumId w:val="24"/>
  </w:num>
  <w:num w:numId="9">
    <w:abstractNumId w:val="3"/>
  </w:num>
  <w:num w:numId="10">
    <w:abstractNumId w:val="19"/>
  </w:num>
  <w:num w:numId="11">
    <w:abstractNumId w:val="12"/>
  </w:num>
  <w:num w:numId="12">
    <w:abstractNumId w:val="4"/>
  </w:num>
  <w:num w:numId="13">
    <w:abstractNumId w:val="15"/>
  </w:num>
  <w:num w:numId="14">
    <w:abstractNumId w:val="2"/>
  </w:num>
  <w:num w:numId="15">
    <w:abstractNumId w:val="11"/>
  </w:num>
  <w:num w:numId="16">
    <w:abstractNumId w:val="6"/>
  </w:num>
  <w:num w:numId="17">
    <w:abstractNumId w:val="0"/>
  </w:num>
  <w:num w:numId="18">
    <w:abstractNumId w:val="1"/>
  </w:num>
  <w:num w:numId="19">
    <w:abstractNumId w:val="14"/>
  </w:num>
  <w:num w:numId="20">
    <w:abstractNumId w:val="21"/>
  </w:num>
  <w:num w:numId="21">
    <w:abstractNumId w:val="8"/>
  </w:num>
  <w:num w:numId="22">
    <w:abstractNumId w:val="9"/>
  </w:num>
  <w:num w:numId="23">
    <w:abstractNumId w:val="13"/>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2B"/>
    <w:rsid w:val="00471BBF"/>
    <w:rsid w:val="00FB0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01B8"/>
  <w15:chartTrackingRefBased/>
  <w15:docId w15:val="{92504E07-39C5-4C3F-B9D6-459FCE5E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B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B00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B00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B00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B002B"/>
    <w:rPr>
      <w:rFonts w:ascii="Times New Roman" w:eastAsia="Times New Roman" w:hAnsi="Times New Roman" w:cs="Times New Roman"/>
      <w:b/>
      <w:bCs/>
      <w:sz w:val="24"/>
      <w:szCs w:val="24"/>
      <w:lang w:eastAsia="ru-RU"/>
    </w:rPr>
  </w:style>
  <w:style w:type="character" w:styleId="a3">
    <w:name w:val="Strong"/>
    <w:basedOn w:val="a0"/>
    <w:uiPriority w:val="22"/>
    <w:qFormat/>
    <w:rsid w:val="00FB002B"/>
    <w:rPr>
      <w:b/>
      <w:bCs/>
    </w:rPr>
  </w:style>
  <w:style w:type="paragraph" w:styleId="a4">
    <w:name w:val="Normal (Web)"/>
    <w:basedOn w:val="a"/>
    <w:uiPriority w:val="99"/>
    <w:semiHidden/>
    <w:unhideWhenUsed/>
    <w:rsid w:val="00FB0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B00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598">
      <w:bodyDiv w:val="1"/>
      <w:marLeft w:val="0"/>
      <w:marRight w:val="0"/>
      <w:marTop w:val="0"/>
      <w:marBottom w:val="0"/>
      <w:divBdr>
        <w:top w:val="none" w:sz="0" w:space="0" w:color="auto"/>
        <w:left w:val="none" w:sz="0" w:space="0" w:color="auto"/>
        <w:bottom w:val="none" w:sz="0" w:space="0" w:color="auto"/>
        <w:right w:val="none" w:sz="0" w:space="0" w:color="auto"/>
      </w:divBdr>
      <w:divsChild>
        <w:div w:id="1193808034">
          <w:marLeft w:val="0"/>
          <w:marRight w:val="0"/>
          <w:marTop w:val="0"/>
          <w:marBottom w:val="0"/>
          <w:divBdr>
            <w:top w:val="none" w:sz="0" w:space="0" w:color="auto"/>
            <w:left w:val="none" w:sz="0" w:space="0" w:color="auto"/>
            <w:bottom w:val="none" w:sz="0" w:space="0" w:color="auto"/>
            <w:right w:val="none" w:sz="0" w:space="0" w:color="auto"/>
          </w:divBdr>
        </w:div>
      </w:divsChild>
    </w:div>
    <w:div w:id="426460479">
      <w:bodyDiv w:val="1"/>
      <w:marLeft w:val="0"/>
      <w:marRight w:val="0"/>
      <w:marTop w:val="0"/>
      <w:marBottom w:val="0"/>
      <w:divBdr>
        <w:top w:val="none" w:sz="0" w:space="0" w:color="auto"/>
        <w:left w:val="none" w:sz="0" w:space="0" w:color="auto"/>
        <w:bottom w:val="none" w:sz="0" w:space="0" w:color="auto"/>
        <w:right w:val="none" w:sz="0" w:space="0" w:color="auto"/>
      </w:divBdr>
      <w:divsChild>
        <w:div w:id="733163614">
          <w:marLeft w:val="0"/>
          <w:marRight w:val="0"/>
          <w:marTop w:val="0"/>
          <w:marBottom w:val="0"/>
          <w:divBdr>
            <w:top w:val="none" w:sz="0" w:space="0" w:color="auto"/>
            <w:left w:val="none" w:sz="0" w:space="0" w:color="auto"/>
            <w:bottom w:val="none" w:sz="0" w:space="0" w:color="auto"/>
            <w:right w:val="none" w:sz="0" w:space="0" w:color="auto"/>
          </w:divBdr>
        </w:div>
      </w:divsChild>
    </w:div>
    <w:div w:id="491608147">
      <w:bodyDiv w:val="1"/>
      <w:marLeft w:val="0"/>
      <w:marRight w:val="0"/>
      <w:marTop w:val="0"/>
      <w:marBottom w:val="0"/>
      <w:divBdr>
        <w:top w:val="none" w:sz="0" w:space="0" w:color="auto"/>
        <w:left w:val="none" w:sz="0" w:space="0" w:color="auto"/>
        <w:bottom w:val="none" w:sz="0" w:space="0" w:color="auto"/>
        <w:right w:val="none" w:sz="0" w:space="0" w:color="auto"/>
      </w:divBdr>
      <w:divsChild>
        <w:div w:id="1864980113">
          <w:marLeft w:val="0"/>
          <w:marRight w:val="0"/>
          <w:marTop w:val="0"/>
          <w:marBottom w:val="0"/>
          <w:divBdr>
            <w:top w:val="none" w:sz="0" w:space="0" w:color="auto"/>
            <w:left w:val="none" w:sz="0" w:space="0" w:color="auto"/>
            <w:bottom w:val="none" w:sz="0" w:space="0" w:color="auto"/>
            <w:right w:val="none" w:sz="0" w:space="0" w:color="auto"/>
          </w:divBdr>
        </w:div>
      </w:divsChild>
    </w:div>
    <w:div w:id="519052826">
      <w:bodyDiv w:val="1"/>
      <w:marLeft w:val="0"/>
      <w:marRight w:val="0"/>
      <w:marTop w:val="0"/>
      <w:marBottom w:val="0"/>
      <w:divBdr>
        <w:top w:val="none" w:sz="0" w:space="0" w:color="auto"/>
        <w:left w:val="none" w:sz="0" w:space="0" w:color="auto"/>
        <w:bottom w:val="none" w:sz="0" w:space="0" w:color="auto"/>
        <w:right w:val="none" w:sz="0" w:space="0" w:color="auto"/>
      </w:divBdr>
      <w:divsChild>
        <w:div w:id="703016644">
          <w:marLeft w:val="0"/>
          <w:marRight w:val="0"/>
          <w:marTop w:val="0"/>
          <w:marBottom w:val="0"/>
          <w:divBdr>
            <w:top w:val="none" w:sz="0" w:space="0" w:color="auto"/>
            <w:left w:val="none" w:sz="0" w:space="0" w:color="auto"/>
            <w:bottom w:val="none" w:sz="0" w:space="0" w:color="auto"/>
            <w:right w:val="none" w:sz="0" w:space="0" w:color="auto"/>
          </w:divBdr>
        </w:div>
      </w:divsChild>
    </w:div>
    <w:div w:id="544487952">
      <w:bodyDiv w:val="1"/>
      <w:marLeft w:val="0"/>
      <w:marRight w:val="0"/>
      <w:marTop w:val="0"/>
      <w:marBottom w:val="0"/>
      <w:divBdr>
        <w:top w:val="none" w:sz="0" w:space="0" w:color="auto"/>
        <w:left w:val="none" w:sz="0" w:space="0" w:color="auto"/>
        <w:bottom w:val="none" w:sz="0" w:space="0" w:color="auto"/>
        <w:right w:val="none" w:sz="0" w:space="0" w:color="auto"/>
      </w:divBdr>
      <w:divsChild>
        <w:div w:id="1563902815">
          <w:marLeft w:val="0"/>
          <w:marRight w:val="0"/>
          <w:marTop w:val="0"/>
          <w:marBottom w:val="0"/>
          <w:divBdr>
            <w:top w:val="none" w:sz="0" w:space="0" w:color="auto"/>
            <w:left w:val="none" w:sz="0" w:space="0" w:color="auto"/>
            <w:bottom w:val="none" w:sz="0" w:space="0" w:color="auto"/>
            <w:right w:val="none" w:sz="0" w:space="0" w:color="auto"/>
          </w:divBdr>
        </w:div>
      </w:divsChild>
    </w:div>
    <w:div w:id="833955687">
      <w:bodyDiv w:val="1"/>
      <w:marLeft w:val="0"/>
      <w:marRight w:val="0"/>
      <w:marTop w:val="0"/>
      <w:marBottom w:val="0"/>
      <w:divBdr>
        <w:top w:val="none" w:sz="0" w:space="0" w:color="auto"/>
        <w:left w:val="none" w:sz="0" w:space="0" w:color="auto"/>
        <w:bottom w:val="none" w:sz="0" w:space="0" w:color="auto"/>
        <w:right w:val="none" w:sz="0" w:space="0" w:color="auto"/>
      </w:divBdr>
    </w:div>
    <w:div w:id="1049646587">
      <w:bodyDiv w:val="1"/>
      <w:marLeft w:val="0"/>
      <w:marRight w:val="0"/>
      <w:marTop w:val="0"/>
      <w:marBottom w:val="0"/>
      <w:divBdr>
        <w:top w:val="none" w:sz="0" w:space="0" w:color="auto"/>
        <w:left w:val="none" w:sz="0" w:space="0" w:color="auto"/>
        <w:bottom w:val="none" w:sz="0" w:space="0" w:color="auto"/>
        <w:right w:val="none" w:sz="0" w:space="0" w:color="auto"/>
      </w:divBdr>
      <w:divsChild>
        <w:div w:id="1473063850">
          <w:marLeft w:val="0"/>
          <w:marRight w:val="0"/>
          <w:marTop w:val="0"/>
          <w:marBottom w:val="0"/>
          <w:divBdr>
            <w:top w:val="none" w:sz="0" w:space="0" w:color="auto"/>
            <w:left w:val="none" w:sz="0" w:space="0" w:color="auto"/>
            <w:bottom w:val="none" w:sz="0" w:space="0" w:color="auto"/>
            <w:right w:val="none" w:sz="0" w:space="0" w:color="auto"/>
          </w:divBdr>
        </w:div>
      </w:divsChild>
    </w:div>
    <w:div w:id="1065684892">
      <w:bodyDiv w:val="1"/>
      <w:marLeft w:val="0"/>
      <w:marRight w:val="0"/>
      <w:marTop w:val="0"/>
      <w:marBottom w:val="0"/>
      <w:divBdr>
        <w:top w:val="none" w:sz="0" w:space="0" w:color="auto"/>
        <w:left w:val="none" w:sz="0" w:space="0" w:color="auto"/>
        <w:bottom w:val="none" w:sz="0" w:space="0" w:color="auto"/>
        <w:right w:val="none" w:sz="0" w:space="0" w:color="auto"/>
      </w:divBdr>
      <w:divsChild>
        <w:div w:id="152987046">
          <w:marLeft w:val="0"/>
          <w:marRight w:val="0"/>
          <w:marTop w:val="0"/>
          <w:marBottom w:val="0"/>
          <w:divBdr>
            <w:top w:val="none" w:sz="0" w:space="0" w:color="auto"/>
            <w:left w:val="none" w:sz="0" w:space="0" w:color="auto"/>
            <w:bottom w:val="none" w:sz="0" w:space="0" w:color="auto"/>
            <w:right w:val="none" w:sz="0" w:space="0" w:color="auto"/>
          </w:divBdr>
        </w:div>
      </w:divsChild>
    </w:div>
    <w:div w:id="1128012218">
      <w:bodyDiv w:val="1"/>
      <w:marLeft w:val="0"/>
      <w:marRight w:val="0"/>
      <w:marTop w:val="0"/>
      <w:marBottom w:val="0"/>
      <w:divBdr>
        <w:top w:val="none" w:sz="0" w:space="0" w:color="auto"/>
        <w:left w:val="none" w:sz="0" w:space="0" w:color="auto"/>
        <w:bottom w:val="none" w:sz="0" w:space="0" w:color="auto"/>
        <w:right w:val="none" w:sz="0" w:space="0" w:color="auto"/>
      </w:divBdr>
      <w:divsChild>
        <w:div w:id="787628089">
          <w:marLeft w:val="0"/>
          <w:marRight w:val="0"/>
          <w:marTop w:val="0"/>
          <w:marBottom w:val="0"/>
          <w:divBdr>
            <w:top w:val="none" w:sz="0" w:space="0" w:color="auto"/>
            <w:left w:val="none" w:sz="0" w:space="0" w:color="auto"/>
            <w:bottom w:val="none" w:sz="0" w:space="0" w:color="auto"/>
            <w:right w:val="none" w:sz="0" w:space="0" w:color="auto"/>
          </w:divBdr>
          <w:divsChild>
            <w:div w:id="1838879917">
              <w:marLeft w:val="0"/>
              <w:marRight w:val="0"/>
              <w:marTop w:val="0"/>
              <w:marBottom w:val="0"/>
              <w:divBdr>
                <w:top w:val="none" w:sz="0" w:space="0" w:color="auto"/>
                <w:left w:val="none" w:sz="0" w:space="0" w:color="auto"/>
                <w:bottom w:val="none" w:sz="0" w:space="0" w:color="auto"/>
                <w:right w:val="none" w:sz="0" w:space="0" w:color="auto"/>
              </w:divBdr>
            </w:div>
          </w:divsChild>
        </w:div>
        <w:div w:id="217211106">
          <w:marLeft w:val="0"/>
          <w:marRight w:val="0"/>
          <w:marTop w:val="0"/>
          <w:marBottom w:val="0"/>
          <w:divBdr>
            <w:top w:val="none" w:sz="0" w:space="0" w:color="auto"/>
            <w:left w:val="none" w:sz="0" w:space="0" w:color="auto"/>
            <w:bottom w:val="none" w:sz="0" w:space="0" w:color="auto"/>
            <w:right w:val="none" w:sz="0" w:space="0" w:color="auto"/>
          </w:divBdr>
          <w:divsChild>
            <w:div w:id="11938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794">
      <w:bodyDiv w:val="1"/>
      <w:marLeft w:val="0"/>
      <w:marRight w:val="0"/>
      <w:marTop w:val="0"/>
      <w:marBottom w:val="0"/>
      <w:divBdr>
        <w:top w:val="none" w:sz="0" w:space="0" w:color="auto"/>
        <w:left w:val="none" w:sz="0" w:space="0" w:color="auto"/>
        <w:bottom w:val="none" w:sz="0" w:space="0" w:color="auto"/>
        <w:right w:val="none" w:sz="0" w:space="0" w:color="auto"/>
      </w:divBdr>
    </w:div>
    <w:div w:id="1394962345">
      <w:bodyDiv w:val="1"/>
      <w:marLeft w:val="0"/>
      <w:marRight w:val="0"/>
      <w:marTop w:val="0"/>
      <w:marBottom w:val="0"/>
      <w:divBdr>
        <w:top w:val="none" w:sz="0" w:space="0" w:color="auto"/>
        <w:left w:val="none" w:sz="0" w:space="0" w:color="auto"/>
        <w:bottom w:val="none" w:sz="0" w:space="0" w:color="auto"/>
        <w:right w:val="none" w:sz="0" w:space="0" w:color="auto"/>
      </w:divBdr>
      <w:divsChild>
        <w:div w:id="125586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1484</Words>
  <Characters>8465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Profit-SI</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Кондаков</dc:creator>
  <cp:keywords/>
  <dc:description/>
  <cp:lastModifiedBy>Виктор Кондаков</cp:lastModifiedBy>
  <cp:revision>1</cp:revision>
  <dcterms:created xsi:type="dcterms:W3CDTF">2018-05-23T08:41:00Z</dcterms:created>
  <dcterms:modified xsi:type="dcterms:W3CDTF">2018-05-23T08:43:00Z</dcterms:modified>
</cp:coreProperties>
</file>