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A2" w:rsidRPr="00AA2AA2" w:rsidRDefault="00AA2AA2" w:rsidP="00AA2AA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AA2AA2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</w:t>
      </w:r>
      <w:proofErr w:type="spellStart"/>
      <w:r w:rsidRPr="00AA2AA2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AA2AA2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RX2540 M4</w:t>
      </w:r>
    </w:p>
    <w:p w:rsidR="00AA2AA2" w:rsidRPr="00AA2AA2" w:rsidRDefault="00AA2AA2" w:rsidP="00AA2AA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Серверная система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RX2540 M4 представляет собой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двухсокетную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платформу, ориентированную на поддержку ресурсоемких вычислений и работу с критически важными приложениями. Новое оборудование отличается высокими показателями производительности, компактными размерами и низким потреблением электроэнергии.</w:t>
      </w:r>
    </w:p>
    <w:p w:rsidR="00AA2AA2" w:rsidRPr="00AA2AA2" w:rsidRDefault="00AA2AA2" w:rsidP="00AA2AA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AA2AA2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Новые возможности</w:t>
      </w:r>
    </w:p>
    <w:p w:rsidR="00AA2AA2" w:rsidRPr="00AA2AA2" w:rsidRDefault="00AA2AA2" w:rsidP="00AA2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Поддержка корпоративных приложений.</w:t>
      </w:r>
    </w:p>
    <w:p w:rsidR="00AA2AA2" w:rsidRPr="00AA2AA2" w:rsidRDefault="00AA2AA2" w:rsidP="00AA2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Быстрая обработка больших объемов данных в условиях современных ЦОД.</w:t>
      </w:r>
    </w:p>
    <w:p w:rsidR="00AA2AA2" w:rsidRPr="00AA2AA2" w:rsidRDefault="00AA2AA2" w:rsidP="00AA2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Широкие возможности масштабирования благодаря модульной конструкции.</w:t>
      </w:r>
    </w:p>
    <w:p w:rsidR="00AA2AA2" w:rsidRPr="00AA2AA2" w:rsidRDefault="00AA2AA2" w:rsidP="00AA2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Высокие показатели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энергоэффективности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системы питания – до 96%.</w:t>
      </w:r>
    </w:p>
    <w:p w:rsidR="00AA2AA2" w:rsidRPr="00AA2AA2" w:rsidRDefault="00AA2AA2" w:rsidP="00AA2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Возможность работы в условиях повышенных температур благодаря технологии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Cool-safe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Advanced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Thermal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Design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AA2AA2" w:rsidRPr="00AA2AA2" w:rsidRDefault="00AA2AA2" w:rsidP="00AA2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Сниженные финансовые расходы на текущее обслуживание.</w:t>
      </w:r>
    </w:p>
    <w:p w:rsidR="00AA2AA2" w:rsidRPr="00AA2AA2" w:rsidRDefault="00AA2AA2" w:rsidP="00AA2AA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AA2AA2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Аппаратные особенности</w:t>
      </w:r>
    </w:p>
    <w:p w:rsidR="00AA2AA2" w:rsidRPr="00AA2AA2" w:rsidRDefault="00AA2AA2" w:rsidP="00AA2AA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Вычислительный потенциал серверным системам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RX2540 M4 обеспечивается за счет использования двух масштабируемых процессоров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Отличительной особенностью новых процессоров является то, что каждый из них может иметь по 28 рабочих ядер, а также поддерживать технологию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UltraPath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Interconnect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Она применяется с той целью, чтобы ускорить процесс обмена информацией между процессорами и увеличить показатели производительности всей серверной системы.</w:t>
      </w:r>
    </w:p>
    <w:p w:rsidR="00AA2AA2" w:rsidRPr="00AA2AA2" w:rsidRDefault="00AA2AA2" w:rsidP="00AA2AA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Кроме мощных процессоров серверы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RX2540 M4 имеют и быструю оперативную память, объем которой составляет 3 ТБ. Она формируется за счет установки 24-х DIMM-модулей, которые поддерживают работу на частоте 2666 МГц.</w:t>
      </w:r>
    </w:p>
    <w:p w:rsidR="00AA2AA2" w:rsidRPr="00AA2AA2" w:rsidRDefault="00AA2AA2" w:rsidP="00AA2AA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Чтобы масштабировать систему ввода/вывода данных и гарантировать возможность увеличения пропускной способности сервера его аппаратная платформа имеет 8 разъемов </w:t>
      </w:r>
      <w:proofErr w:type="spellStart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PCIe</w:t>
      </w:r>
      <w:proofErr w:type="spellEnd"/>
      <w:r w:rsidRPr="00AA2AA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Gen3.</w:t>
      </w:r>
    </w:p>
    <w:p w:rsidR="00AA2AA2" w:rsidRPr="00AA2AA2" w:rsidRDefault="00AA2AA2" w:rsidP="00AA2AA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AA2AA2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Технические характеристики сервера </w:t>
      </w:r>
      <w:proofErr w:type="spellStart"/>
      <w:r w:rsidRPr="00AA2AA2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AA2AA2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RX2540 M4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6418"/>
      </w:tblGrid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C624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D3384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Стоечный двухпроцессорный сервер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Семейство масштабируемых процессоров 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1–2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 ГБ - 3072 ГБ, DIMM (DDR4)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Advanced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ECC, Технология 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Memory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Scrubbing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SDDC, Поддержка уровней резервной памяти, Поддержка 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зеркалирования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памяти</w:t>
            </w:r>
          </w:p>
        </w:tc>
      </w:tr>
      <w:tr w:rsidR="00AA2AA2" w:rsidRPr="00352E89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LTO5HH Ultrium, 140 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МБ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/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1,500 GB, SAS 6Gb/s</w:t>
            </w:r>
          </w:p>
          <w:p w:rsidR="00AA2AA2" w:rsidRPr="00AA2AA2" w:rsidRDefault="00AA2AA2" w:rsidP="00AA2AA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DVD 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supermulti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ultraslim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SATA I</w:t>
            </w:r>
          </w:p>
          <w:p w:rsidR="00AA2AA2" w:rsidRPr="00AA2AA2" w:rsidRDefault="00AA2AA2" w:rsidP="00AA2AA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RDX, 100 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МБ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/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320 GB, 500 GB, 1 TB, 2 TB, USB 3.0</w:t>
            </w:r>
          </w:p>
          <w:p w:rsidR="00AA2AA2" w:rsidRPr="00AA2AA2" w:rsidRDefault="00AA2AA2" w:rsidP="00AA2AA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LTO-6 HH Ultrium, 160 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МБ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/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2,500 GB, SAS 6Gb/s</w:t>
            </w:r>
          </w:p>
          <w:p w:rsidR="00AA2AA2" w:rsidRPr="00AA2AA2" w:rsidRDefault="00AA2AA2" w:rsidP="00AA2AA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lastRenderedPageBreak/>
              <w:t xml:space="preserve">LTO7HH Ultrium, 300 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МБ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/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</w:t>
            </w: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2,500 GB, SAS 6Gb/s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PCI-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x Низкопрофильный (для слота 4 требуется второй процессор)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x Низкопрофильный (для слотов 5 и 6 требуется второй процессор)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отсек размером 5,25/0,4 дюйма для привода CD-RW/DVD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Конфигурация блоков питания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блок питания с возможностью горячей замены, либо 2 блока питания с возможностью горячей замены для резервирования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Фактическая мощность (макс. конфигурация)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715 Вт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 25 кг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Стойка (Ш x Г x 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482,4 мм (лицевая панель) / 445 мм (корпус) x 770 x 86.6 мм</w:t>
            </w:r>
          </w:p>
        </w:tc>
      </w:tr>
      <w:tr w:rsidR="00AA2AA2" w:rsidRPr="00AA2AA2" w:rsidTr="00AA2A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2AA2" w:rsidRPr="00AA2AA2" w:rsidRDefault="00AA2AA2" w:rsidP="00AA2A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2AA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года</w:t>
            </w:r>
          </w:p>
        </w:tc>
      </w:tr>
    </w:tbl>
    <w:p w:rsidR="00361834" w:rsidRDefault="00AA2AA2">
      <w:r>
        <w:rPr>
          <w:noProof/>
          <w:lang w:eastAsia="ru-RU"/>
        </w:rPr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7d726cccebb48391d2d1ee2c12885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7d726cccebb48391d2d1ee2c12885a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89" w:rsidRDefault="00352E89"/>
    <w:p w:rsidR="00352E89" w:rsidRPr="00352E89" w:rsidRDefault="00352E89" w:rsidP="00352E89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52E8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1865" cy="1306195"/>
            <wp:effectExtent l="0" t="0" r="635" b="8255"/>
            <wp:docPr id="2" name="Рисунок 2" descr="http://itelon.ru/upload/iblock/4c2/fujitsu_server_primergy_rx2540_m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4c2/fujitsu_server_primergy_rx2540_m4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89" w:rsidRPr="00352E89" w:rsidRDefault="00352E89" w:rsidP="00352E8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352E8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352E8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RX2540 M4 4X3.5''/XEON SILVER 4110/16 GB RG 2666 1R/ DVD-RW/PRAID CP400I/4X1GB OCP IF/ RMK F1 S7 LV/RACK MOUNT 1U SYM/</w:t>
      </w:r>
    </w:p>
    <w:p w:rsidR="00352E89" w:rsidRPr="00352E89" w:rsidRDefault="00352E89" w:rsidP="00352E8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52E8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352E8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352E8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VFY:R2544SC010IN</w:t>
      </w:r>
    </w:p>
    <w:p w:rsidR="00352E89" w:rsidRDefault="00352E89">
      <w:bookmarkStart w:id="0" w:name="_GoBack"/>
      <w:bookmarkEnd w:id="0"/>
    </w:p>
    <w:sectPr w:rsidR="0035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41C"/>
    <w:multiLevelType w:val="multilevel"/>
    <w:tmpl w:val="51D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14D11"/>
    <w:multiLevelType w:val="multilevel"/>
    <w:tmpl w:val="7A4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91"/>
    <w:rsid w:val="00352E89"/>
    <w:rsid w:val="00361834"/>
    <w:rsid w:val="00AA2AA2"/>
    <w:rsid w:val="00C5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3861"/>
  <w15:chartTrackingRefBased/>
  <w15:docId w15:val="{DD95586C-4771-45ED-901A-D1E2B213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2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A2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2A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2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2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3</cp:revision>
  <dcterms:created xsi:type="dcterms:W3CDTF">2018-05-21T12:06:00Z</dcterms:created>
  <dcterms:modified xsi:type="dcterms:W3CDTF">2018-05-23T13:32:00Z</dcterms:modified>
</cp:coreProperties>
</file>