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Baltic Vessel Tracker</w:t>
      </w:r>
    </w:p>
    <w:p>
      <w:pPr>
        <w:pStyle w:val="Subtitle"/>
      </w:pPr>
      <w:r>
        <w:t>Self-hosted, provider-agnostic live AIS tracking for Sweden, the Baltic, and Norway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7360"/>
      </w:tblGrid>
      <w:tr>
        <w:tc>
          <w:tcPr>
            <w:tcW w:type="dxa" w:w="2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Field</w:t>
            </w:r>
          </w:p>
        </w:tc>
        <w:tc>
          <w:tcPr>
            <w:tcW w:type="dxa" w:w="73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Value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Document status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Build-ready baseline; validate external provider contracts before production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Primary audience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Coding AI agent, technical founder, reviewer/operator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Release target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V1 personal/small-team self-hosted web application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Priority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Unlimited watchlists, trustworthy live state, history, alerts, and graceful source failure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Out of scope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Safety-of-navigation use, guaranteed global satellite coverage, native mobile apps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21"/>
              </w:rPr>
              <w:t xml:space="preserve">Build directive: </w:t>
            </w: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Implement vertical slices in the order specified. Treat AIS feeds as untrusted, lossy event streams. No UI component may depend directly on a provider payload.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1. Executive Summary</w:t>
      </w:r>
    </w:p>
    <w:p>
      <w:pPr>
        <w:spacing w:after="120"/>
      </w:pPr>
      <w:r>
        <w:t>Build a Docker-deployable web application that gives a private user or small team a MarineTraffic-like experience without an arbitrary five-vessel watchlist cap. The product displays live vessel positions, supports search and unlimited starred vessels, retains track history, evaluates geofence and vessel-event rules, and identifies the freshness and provenance of each observation.</w:t>
      </w:r>
    </w:p>
    <w:p>
      <w:pPr>
        <w:spacing w:after="120"/>
      </w:pPr>
      <w:r>
        <w:t>The system is intentionally provider-agnostic. V1 uses an AISStream adapter for broad terrestrial coverage and a BarentsWatch adapter for official Norwegian coverage, with interfaces reserved for AISHub, local AIS receivers, and a future licensed Swedish source. A normalization and deduplication boundary protects the application from source-specific schemas and failures.</w:t>
      </w:r>
    </w:p>
    <w:p>
      <w:pPr>
        <w:pStyle w:val="Heading1"/>
        <w:keepNext/>
      </w:pPr>
      <w:r>
        <w:t>2. Product Context and Problem</w:t>
      </w:r>
    </w:p>
    <w:p>
      <w:pPr>
        <w:pStyle w:val="Heading2"/>
        <w:keepNext/>
      </w:pPr>
      <w:r>
        <w:t>2.1 Problem statement</w:t>
      </w:r>
    </w:p>
    <w:p>
      <w:pPr>
        <w:spacing w:after="120"/>
      </w:pPr>
      <w:r>
        <w:t>Commercial vessel-tracking services combine excellent data networks with consumer plan limits. The target user wants to follow tens or hundreds of vessels across Sweden, the Baltic, and Norway; see recent movements; and receive useful alerts while retaining control of the software and data.</w:t>
      </w:r>
    </w:p>
    <w:p>
      <w:pPr>
        <w:pStyle w:val="Heading2"/>
        <w:keepNext/>
      </w:pPr>
      <w:r>
        <w:t>2.2 Product principles</w:t>
      </w:r>
    </w:p>
    <w:p>
      <w:pPr>
        <w:pStyle w:val="ListBullet"/>
        <w:spacing w:after="80"/>
      </w:pPr>
      <w:r>
        <w:t>Self-hosted first: one documented Docker Compose command produces a working local installation.</w:t>
      </w:r>
    </w:p>
    <w:p>
      <w:pPr>
        <w:pStyle w:val="ListBullet"/>
        <w:spacing w:after="80"/>
      </w:pPr>
      <w:r>
        <w:t>Data honesty: display last-seen time, source, quality flags, and stale/offline state; never imply continuous coverage.</w:t>
      </w:r>
    </w:p>
    <w:p>
      <w:pPr>
        <w:pStyle w:val="ListBullet"/>
        <w:spacing w:after="80"/>
      </w:pPr>
      <w:r>
        <w:t>Provider independence: adapters terminate at one canonical event contract.</w:t>
      </w:r>
    </w:p>
    <w:p>
      <w:pPr>
        <w:pStyle w:val="ListBullet"/>
        <w:spacing w:after="80"/>
      </w:pPr>
      <w:r>
        <w:t>Operational simplicity: sensible defaults, bounded retention, backups, health checks, and observable failures.</w:t>
      </w:r>
    </w:p>
    <w:p>
      <w:pPr>
        <w:pStyle w:val="ListBullet"/>
        <w:spacing w:after="80"/>
      </w:pPr>
      <w:r>
        <w:t>Privacy by default: authentication enabled outside localhost, secrets kept server-side, no public watchlists.</w:t>
      </w:r>
    </w:p>
    <w:p>
      <w:pPr>
        <w:pStyle w:val="ListBullet"/>
        <w:spacing w:after="80"/>
      </w:pPr>
      <w:r>
        <w:t>Not for navigation: prominently state that data may be delayed, incomplete, duplicated, spoofed, or incorrect.</w:t>
      </w:r>
    </w:p>
    <w:p>
      <w:pPr>
        <w:pStyle w:val="Heading1"/>
        <w:keepNext/>
      </w:pPr>
      <w:r>
        <w:t>3. Goals, Non-goals, and Success Metrics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7860"/>
      </w:tblGrid>
      <w:tr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Category</w:t>
            </w:r>
          </w:p>
        </w:tc>
        <w:tc>
          <w:tcPr>
            <w:tcW w:type="dxa" w:w="78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Requirement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Goal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View live AIS vessel state over a Sweden/Baltic default viewport and Norwegian waters.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Goal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Maintain unlimited watchlist records at product level; performance target tested at 500 starred vessels.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Goal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Retain queryable tracks and trigger geofence/arrival/departure/stale-state alerts.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Goal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Continue serving stored state and history during provider outages.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Non-goal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Safety-critical navigation, collision avoidance, or official maritime situational awareness.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Non-goal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Complete global coverage or satellite AIS in V1.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Non-goal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Crowdsourced receiver management, billing, public multi-tenancy, or native apps in V1.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2100"/>
        <w:gridCol w:w="5060"/>
      </w:tblGrid>
      <w:tr>
        <w:tc>
          <w:tcPr>
            <w:tcW w:type="dxa" w:w="2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Metric</w:t>
            </w:r>
          </w:p>
        </w:tc>
        <w:tc>
          <w:tcPr>
            <w:tcW w:type="dxa" w:w="2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V1 target</w:t>
            </w:r>
          </w:p>
        </w:tc>
        <w:tc>
          <w:tcPr>
            <w:tcW w:type="dxa" w:w="50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Measurement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Map readiness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p95 initial usable map ≤ 3 s with 10k cached vessels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Browser synthetic test on reference hardware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Live propagation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p95 normalized event → connected browser ≤ 2 s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Timestamped integration telemetry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API latency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p95 read endpoints ≤ 400 ms under reference load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k6 test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Ingestion durability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No process crash from malformed provider messages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Fuzz/fixture suite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Alert duplication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At most one notification per rule/event cooldown window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Integration tests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Recovery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Provider reconnects automatically with capped exponential backoff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Chaos test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Deployability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Fresh install works from README in ≤ 20 min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Clean-host acceptance run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4. Personas and Core Journeys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2900"/>
        <w:gridCol w:w="4760"/>
      </w:tblGrid>
      <w:t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Persona</w:t>
            </w:r>
          </w:p>
        </w:tc>
        <w:tc>
          <w:tcPr>
            <w:tcW w:type="dxa" w:w="2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Need</w:t>
            </w:r>
          </w:p>
        </w:tc>
        <w:tc>
          <w:tcPr>
            <w:tcW w:type="dxa" w:w="47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Primary journey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Fleet follower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Track many personally relevant ships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Search → star → map/watchlist → open track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Baltic observer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Monitor vessel traffic in selected regions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Open saved viewport → filter → inspect live details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Alert-driven user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Know when a vessel enters/leaves a region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Create geofence/rule → receive alert → open event context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Self-hosting operator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Run and trust the service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Configure secrets → deploy → view health → backup/restore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4.1 Critical user journeys</w:t>
      </w:r>
    </w:p>
    <w:p>
      <w:pPr>
        <w:pStyle w:val="ListBullet"/>
        <w:spacing w:after="80"/>
      </w:pPr>
      <w:r>
        <w:t>First run: operator configures at least one source, creates admin credentials, starts the stack, and sees source health plus live/cached vessel state.</w:t>
      </w:r>
    </w:p>
    <w:p>
      <w:pPr>
        <w:pStyle w:val="ListBullet"/>
        <w:spacing w:after="80"/>
      </w:pPr>
      <w:r>
        <w:t>Follow vessel: user searches by normalized name, MMSI, or IMO, opens a vessel sheet, and adds it to a watchlist without provider-side filter limits.</w:t>
      </w:r>
    </w:p>
    <w:p>
      <w:pPr>
        <w:pStyle w:val="ListBullet"/>
        <w:spacing w:after="80"/>
      </w:pPr>
      <w:r>
        <w:t>Review movement: user selects a 24-hour, 7-day, or custom window and sees a simplified track with timestamps and gaps made visible.</w:t>
      </w:r>
    </w:p>
    <w:p>
      <w:pPr>
        <w:pStyle w:val="ListBullet"/>
        <w:spacing w:after="80"/>
      </w:pPr>
      <w:r>
        <w:t>Create alert: user draws a polygon/circle, selects enter/exit and vessels, sets cooldown and channel, previews the rule, and enables it.</w:t>
      </w:r>
    </w:p>
    <w:p>
      <w:pPr>
        <w:pStyle w:val="ListBullet"/>
        <w:spacing w:after="80"/>
      </w:pPr>
      <w:r>
        <w:t>Outage: UI remains usable, labels observations stale, shows source degradation, and resumes updates without duplicate alerts after reconnection.</w:t>
      </w:r>
    </w:p>
    <w:p>
      <w:pPr>
        <w:pStyle w:val="Heading1"/>
        <w:keepNext/>
      </w:pPr>
      <w:r>
        <w:t>5. Scope and Priorities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Priority</w:t>
            </w:r>
          </w:p>
        </w:tc>
        <w:tc>
          <w:tcPr>
            <w:tcW w:type="dxa" w:w="76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Included capabilities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P0 — release blocking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Authentication; map; live vessel state; search; vessel detail; unlimited watchlist records; 24h/7d history; AISStream adapter; BarentsWatch adapter; dedupe; source health; Docker Compose; backups; audit-safe logs.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P1 — should ship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Geofences; enter/exit/stale alerts; email and generic webhook; saved filters/viewports; 30d history; import/export watchlist CSV; admin retention controls.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P2 — later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AISHub/local receiver adapters; port-call inference; push notifications; multi-user sharing; satellite/licensed feeds; native app; receiver fleet management.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6. Functional Requirements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400"/>
        <w:gridCol w:w="6060"/>
        <w:gridCol w:w="800"/>
      </w:tblGrid>
      <w:tr>
        <w:tc>
          <w:tcPr>
            <w:tcW w:type="dxa" w:w="1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ID</w:t>
            </w:r>
          </w:p>
        </w:tc>
        <w:tc>
          <w:tcPr>
            <w:tcW w:type="dxa" w:w="14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Area</w:t>
            </w:r>
          </w:p>
        </w:tc>
        <w:tc>
          <w:tcPr>
            <w:tcW w:type="dxa" w:w="60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Requirement</w:t>
            </w:r>
          </w:p>
        </w:tc>
        <w:tc>
          <w:tcPr>
            <w:tcW w:type="dxa" w:w="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Pri.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FR-001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Authentication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Local admin bootstrap; secure session cookies; logout; password change; rate-limit login; no anonymous remote access by default.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P0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FR-002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Map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MapLibre map with clustering or density handling, vessel heading, type coloring, selected-vessel focus, stale styling, and source/freshness display.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P0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FR-003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Viewport query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Request only vessels intersecting viewport and optional filters; server enforces maximum bounds/result size.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P0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FR-004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Live updates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Subscribe browser to viewport/watchlist updates; reconnect with resume snapshot; coalesce fast updates to protect browser rendering.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P0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FR-005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Search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Case-insensitive name prefix/fuzzy search plus exact MMSI and IMO lookup; return freshness and ambiguity cues.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P0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FR-006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Vessel detail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Show identity, dimensions/type where known, navigation status, lat/lon, SOG, COG, heading, destination, ETA, last seen, sources, and quality flags.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P0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FR-007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Watchlists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Create/rename/delete lists; add/remove vessels; no application count cap; prevent duplicate vessel membership per list.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P0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FR-008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History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Query tracks by vessel/time window; preserve gaps; server-side simplification by zoom/tolerance; export GeoJSON/CSV.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P0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FR-009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Geofences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Create circle/polygon; validate geometry; name, color, enable/disable; spatial index; import/export GeoJSON.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P1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FR-010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Rules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Enter, exit, stale, reappeared, and optional speed threshold; target vessel/list/all; cooldown; enable/disable; dry-run preview.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P1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FR-011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Notifications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In-app event log, SMTP email, and signed generic webhook; retries with dead-letter state; redact secrets.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P1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FR-012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Source health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Per-source connection state, last message, message/error rate, reconnect count, lag, and configured coverage hints.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P0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FR-013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Administration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Retention, provider enablement, bounding boxes, alert channels, user profile, backup instructions, and system status.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P0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FR-014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Data export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Export watchlists and user-created geofences/rules; provide documented database backup/restore.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P1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7. UX and Interaction Specification</w:t>
      </w:r>
    </w:p>
    <w:p>
      <w:pPr>
        <w:pStyle w:val="Heading2"/>
        <w:keepNext/>
      </w:pPr>
      <w:r>
        <w:t>7.1 Information architecture</w:t>
      </w:r>
    </w:p>
    <w:p>
      <w:pPr>
        <w:pStyle w:val="ListBullet"/>
        <w:spacing w:after="80"/>
      </w:pPr>
      <w:r>
        <w:t>Map — default landing page with search, layers, filters, source status, and selected-vessel drawer.</w:t>
      </w:r>
    </w:p>
    <w:p>
      <w:pPr>
        <w:pStyle w:val="ListBullet"/>
        <w:spacing w:after="80"/>
      </w:pPr>
      <w:r>
        <w:t>Watchlists — list selector, table/card mode, freshness sorting, bulk import/export, quick focus on map.</w:t>
      </w:r>
    </w:p>
    <w:p>
      <w:pPr>
        <w:pStyle w:val="ListBullet"/>
        <w:spacing w:after="80"/>
      </w:pPr>
      <w:r>
        <w:t>Alerts — event inbox, rule builder, delivery status, test action, acknowledgment.</w:t>
      </w:r>
    </w:p>
    <w:p>
      <w:pPr>
        <w:pStyle w:val="ListBullet"/>
        <w:spacing w:after="80"/>
      </w:pPr>
      <w:r>
        <w:t>History — vessel and time-range selector, track playback optional only after core query is stable.</w:t>
      </w:r>
    </w:p>
    <w:p>
      <w:pPr>
        <w:pStyle w:val="ListBullet"/>
        <w:spacing w:after="80"/>
      </w:pPr>
      <w:r>
        <w:t>Admin — sources, retention, health, backup, account, and legal/data disclaimer.</w:t>
      </w:r>
    </w:p>
    <w:p>
      <w:pPr>
        <w:pStyle w:val="Heading2"/>
        <w:keepNext/>
      </w:pPr>
      <w:r>
        <w:t>7.2 Map behavior</w:t>
      </w:r>
    </w:p>
    <w:p>
      <w:pPr>
        <w:pStyle w:val="ListBullet"/>
        <w:spacing w:after="80"/>
      </w:pPr>
      <w:r>
        <w:t>Default viewport covers Sweden and the Baltic; persisted per user after first use.</w:t>
      </w:r>
    </w:p>
    <w:p>
      <w:pPr>
        <w:pStyle w:val="ListBullet"/>
        <w:spacing w:after="80"/>
      </w:pPr>
      <w:r>
        <w:t>Markers rotate by heading when available, otherwise COG; show a distinct unknown-orientation glyph.</w:t>
      </w:r>
    </w:p>
    <w:p>
      <w:pPr>
        <w:pStyle w:val="ListBullet"/>
        <w:spacing w:after="80"/>
      </w:pPr>
      <w:r>
        <w:t>Freshness states: live ≤ 2 min, delayed &gt;2–15 min, stale &gt;15 min; thresholds configurable and always visible in legend.</w:t>
      </w:r>
    </w:p>
    <w:p>
      <w:pPr>
        <w:pStyle w:val="ListBullet"/>
        <w:spacing w:after="80"/>
      </w:pPr>
      <w:r>
        <w:t>At low zoom, cluster or use server/worker aggregation. Never render unbounded raw history points.</w:t>
      </w:r>
    </w:p>
    <w:p>
      <w:pPr>
        <w:pStyle w:val="ListBullet"/>
        <w:spacing w:after="80"/>
      </w:pPr>
      <w:r>
        <w:t>Selecting a vessel pins it through incremental updates; URL includes MMSI for shareable internal deep links.</w:t>
      </w:r>
    </w:p>
    <w:p>
      <w:pPr>
        <w:pStyle w:val="ListBullet"/>
        <w:spacing w:after="80"/>
      </w:pPr>
      <w:r>
        <w:t>If a field is unavailable, show “Unknown,” never zero or an inferred value without an inference label.</w:t>
      </w:r>
    </w:p>
    <w:p>
      <w:pPr>
        <w:pStyle w:val="Heading2"/>
        <w:keepNext/>
      </w:pPr>
      <w:r>
        <w:t>7.3 Accessibility and responsive behavior</w:t>
      </w:r>
    </w:p>
    <w:p>
      <w:pPr>
        <w:pStyle w:val="ListBullet"/>
        <w:spacing w:after="80"/>
      </w:pPr>
      <w:r>
        <w:t>WCAG 2.2 AA target for controls, forms, focus order, contrast, and non-map equivalents.</w:t>
      </w:r>
    </w:p>
    <w:p>
      <w:pPr>
        <w:pStyle w:val="ListBullet"/>
        <w:spacing w:after="80"/>
      </w:pPr>
      <w:r>
        <w:t>Keyboard-accessible search, list management, filters, and vessel detail; map-only drawing may have coordinate-entry fallback.</w:t>
      </w:r>
    </w:p>
    <w:p>
      <w:pPr>
        <w:pStyle w:val="ListBullet"/>
        <w:spacing w:after="80"/>
      </w:pPr>
      <w:r>
        <w:t>Desktop-first responsive web app; usable watchlist and vessel detail at 390 px width.</w:t>
      </w:r>
    </w:p>
    <w:p>
      <w:pPr>
        <w:pStyle w:val="ListBullet"/>
        <w:spacing w:after="80"/>
      </w:pPr>
      <w:r>
        <w:t>Do not encode vessel type or freshness by color alone; pair with icon/text.</w:t>
      </w:r>
    </w:p>
    <w:p>
      <w:pPr>
        <w:pStyle w:val="Heading1"/>
        <w:keepNext/>
      </w:pPr>
      <w:r>
        <w:t>8. System Architecture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21"/>
              </w:rPr>
              <w:t xml:space="preserve">Architecture rule: </w:t>
            </w: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Provider payloads enter only through adapters and are never stored as authoritative application objects. Preserve raw envelopes briefly for diagnosis, then normalize, validate, deduplicate, persist, and publish.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900"/>
        <w:gridCol w:w="3760"/>
      </w:tblGrid>
      <w:t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Component</w:t>
            </w:r>
          </w:p>
        </w:tc>
        <w:tc>
          <w:tcPr>
            <w:tcW w:type="dxa" w:w="3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Responsibility</w:t>
            </w:r>
          </w:p>
        </w:tc>
        <w:tc>
          <w:tcPr>
            <w:tcW w:type="dxa" w:w="37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Recommended implementation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Web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Map, watchlists, rules, admin, authenticated API client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React + TypeScript + Vite; MapLibre GL JS; TanStack Query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API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REST, auth, validation, viewport/history queries, WebSocket/SSE gateway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FastAPI/Python 3.12; Pydantic; SQLAlchemy/Alembic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Ingestion workers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Provider connections, parsing, normalization, retries, metrics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Async Python workers; one adapter instance per configured subscription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Event transport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Decouple ingestion, persistence, live fan-out, alert evaluation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Redis Streams for V1; abstraction permits NATS/Kafka later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Database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Canonical vessel state, observations, PostGIS geometry, app records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PostgreSQL 16 + PostGIS; TimescaleDB optional, not required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Cache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Latest viewport payloads, sessions/rate limits, ephemeral source state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Redis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Reverse proxy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TLS termination, secure headers, compression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Caddy profile or operator-supplied proxy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8.1 Event flow</w:t>
      </w:r>
    </w:p>
    <w:p>
      <w:pPr>
        <w:pStyle w:val="ListBullet"/>
        <w:spacing w:after="80"/>
      </w:pPr>
      <w:r>
        <w:t>Adapter receives provider message and records receive timestamp/source connection metadata.</w:t>
      </w:r>
    </w:p>
    <w:p>
      <w:pPr>
        <w:pStyle w:val="ListBullet"/>
        <w:spacing w:after="80"/>
      </w:pPr>
      <w:r>
        <w:t>Parser validates schema defensively and emits CanonicalAisObservation or a quarantined error.</w:t>
      </w:r>
    </w:p>
    <w:p>
      <w:pPr>
        <w:pStyle w:val="ListBullet"/>
        <w:spacing w:after="80"/>
      </w:pPr>
      <w:r>
        <w:t>Normalizer standardizes identifiers, units, null semantics, timestamps, and longitude/latitude bounds.</w:t>
      </w:r>
    </w:p>
    <w:p>
      <w:pPr>
        <w:pStyle w:val="ListBullet"/>
        <w:spacing w:after="80"/>
      </w:pPr>
      <w:r>
        <w:t>Deduplicator assigns a deterministic observation key and applies source priority/freshness rules.</w:t>
      </w:r>
    </w:p>
    <w:p>
      <w:pPr>
        <w:pStyle w:val="ListBullet"/>
        <w:spacing w:after="80"/>
      </w:pPr>
      <w:r>
        <w:t>Persistence upserts latest state and appends accepted position history idempotently.</w:t>
      </w:r>
    </w:p>
    <w:p>
      <w:pPr>
        <w:pStyle w:val="ListBullet"/>
        <w:spacing w:after="80"/>
      </w:pPr>
      <w:r>
        <w:t>Publisher emits compact vessel updates to viewport/watchlist subscribers.</w:t>
      </w:r>
    </w:p>
    <w:p>
      <w:pPr>
        <w:pStyle w:val="ListBullet"/>
        <w:spacing w:after="80"/>
      </w:pPr>
      <w:r>
        <w:t>Rule engine processes accepted state transitions and writes idempotent alert events before delivery.</w:t>
      </w:r>
    </w:p>
    <w:p>
      <w:pPr>
        <w:pStyle w:val="Heading1"/>
        <w:keepNext/>
      </w:pPr>
      <w:r>
        <w:t>9. Canonical Data Contracts</w:t>
      </w:r>
    </w:p>
    <w:p>
      <w:pPr>
        <w:pStyle w:val="Heading2"/>
        <w:keepNext/>
      </w:pPr>
      <w:r>
        <w:t>9.1 CanonicalAisObservation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2760"/>
        <w:gridCol w:w="4600"/>
      </w:tblGrid>
      <w:tr>
        <w:tc>
          <w:tcPr>
            <w:tcW w:type="dxa" w:w="2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Field</w:t>
            </w:r>
          </w:p>
        </w:tc>
        <w:tc>
          <w:tcPr>
            <w:tcW w:type="dxa" w:w="27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Type / rule</w:t>
            </w:r>
          </w:p>
        </w:tc>
        <w:tc>
          <w:tcPr>
            <w:tcW w:type="dxa" w:w="4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Notes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observation_id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UUID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Internal immutable identifier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dedupe_key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string, unique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Hash of source + provider id or MMSI/type/time/position tuple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source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enum/string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aisstream, barentswatch, aishub, local, licensed_se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received_at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timestamptz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Server reception time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observed_at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timestamptz nullable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Provider/device time; reject unreasonable future values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mmsi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char(9)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Required for vessel state; validate digits and range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imo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integer nullable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Identity merge aid; never primary live key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message_type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smallint/string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Original AIS category retained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position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geography(Point,4326) nullable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Lon/lat order; validate geographic bounds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sog_kn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numeric nullable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Range validate; preserve null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cog_deg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numeric nullable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0≤x&lt;360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heading_deg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integer nullable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0–359; provider sentinel becomes null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nav_status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canonical enum nullable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Retain raw value alongside mapping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name/callsign/destination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text nullable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Trim/control-character clean; retain raw envelope separately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eta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structured nullable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AIS often lacks year; store raw components and derived candidate with flag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quality_flags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text[]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stale clock, invalid position, suspect speed, derived time, conflict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raw_ref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UUID nullable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Reference to short-retention raw envelope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9.2 Source conflict policy</w:t>
      </w:r>
    </w:p>
    <w:p>
      <w:pPr>
        <w:pStyle w:val="ListBullet"/>
        <w:spacing w:after="80"/>
      </w:pPr>
      <w:r>
        <w:t>Deduplicate exact/replayed observations idempotently.</w:t>
      </w:r>
    </w:p>
    <w:p>
      <w:pPr>
        <w:pStyle w:val="ListBullet"/>
        <w:spacing w:after="80"/>
      </w:pPr>
      <w:r>
        <w:t>For latest position, prefer the newest credible observed_at; fall back to received_at when provider time is absent or flagged.</w:t>
      </w:r>
    </w:p>
    <w:p>
      <w:pPr>
        <w:pStyle w:val="ListBullet"/>
        <w:spacing w:after="80"/>
      </w:pPr>
      <w:r>
        <w:t>When timestamps are effectively equal, use configurable source priority; do not silently average positions.</w:t>
      </w:r>
    </w:p>
    <w:p>
      <w:pPr>
        <w:pStyle w:val="ListBullet"/>
        <w:spacing w:after="80"/>
      </w:pPr>
      <w:r>
        <w:t>Maintain latest field-level provenance because static identity and dynamic position may come from different sources.</w:t>
      </w:r>
    </w:p>
    <w:p>
      <w:pPr>
        <w:pStyle w:val="ListBullet"/>
        <w:spacing w:after="80"/>
      </w:pPr>
      <w:r>
        <w:t>Never delete history because another source disagrees; flag conflicts and exclude implausible points from the displayed track by default.</w:t>
      </w:r>
    </w:p>
    <w:p>
      <w:pPr>
        <w:pStyle w:val="Heading1"/>
        <w:keepNext/>
      </w:pPr>
      <w:r>
        <w:t>10. Database Model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4560"/>
        <w:gridCol w:w="3200"/>
      </w:tblGrid>
      <w:tr>
        <w:tc>
          <w:tcPr>
            <w:tcW w:type="dxa" w:w="1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Table</w:t>
            </w:r>
          </w:p>
        </w:tc>
        <w:tc>
          <w:tcPr>
            <w:tcW w:type="dxa" w:w="45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Key fields / constraints</w:t>
            </w:r>
          </w:p>
        </w:tc>
        <w:tc>
          <w:tcPr>
            <w:tcW w:type="dxa" w:w="3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Purpose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users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id, email unique, password_hash, role, created_at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Local accounts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vessels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mmsi PK, imo, name, callsign, ship_type, dimensions, identity_updated_at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Canonical vessel identity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vessel_latest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mmsi PK/FK, position geography, observed_at, received_at, kinematics, nav status, provenance JSONB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Fast current-state reads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position_observations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id, dedupe_key unique, mmsi, position, timestamps, source, quality_flags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Partitioned immutable history; GiST + time indexes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raw_messages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id, source, received_at, payload JSONB, parse_status/error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Short-retention diagnostics; optional in constrained installs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watchlists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id, user_id, name, timestamps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User lists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watchlist_vessels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watchlist_id+mmsi unique, added_at, note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Unlimited memberships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geofences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id, user_id, name, geography polygon, style, enabled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Spatial rules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alert_rules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id, user_id, type, target JSONB, params JSONB, cooldown, enabled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Rule configuration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alert_events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id, rule_id, mmsi, transition_key unique, occurred_at, context JSONB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Idempotent event log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notification_deliveries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id, event_id, channel, attempt, status, next_attempt_at, error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Retry/dead-letter audit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source_status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source+instance key, state, last_message_at, counters, error summary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Operational visibility</w:t>
            </w:r>
          </w:p>
        </w:tc>
      </w:tr>
    </w:tbl>
    <w:p>
      <w:pPr>
        <w:spacing w:after="0"/>
      </w:pPr>
    </w:p>
    <w:p>
      <w:pPr>
        <w:spacing w:after="120"/>
      </w:pPr>
      <w:r>
        <w:t>Partition position_observations monthly once volume warrants it. Default retention: accepted positions 90 days, raw messages 24 hours, alert events 365 days, source metrics 30 days. Make all values configurable and document storage implications.</w:t>
      </w:r>
    </w:p>
    <w:p>
      <w:pPr>
        <w:pStyle w:val="Heading1"/>
        <w:keepNext/>
      </w:pPr>
      <w:r>
        <w:t>11. API and Realtime Contract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3500"/>
        <w:gridCol w:w="4760"/>
      </w:tblGrid>
      <w:tr>
        <w:tc>
          <w:tcPr>
            <w:tcW w:type="dxa" w:w="1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Method</w:t>
            </w:r>
          </w:p>
        </w:tc>
        <w:tc>
          <w:tcPr>
            <w:tcW w:type="dxa" w:w="3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Path</w:t>
            </w:r>
          </w:p>
        </w:tc>
        <w:tc>
          <w:tcPr>
            <w:tcW w:type="dxa" w:w="47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Behavior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POST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/api/v1/auth/login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Create secure session; CSRF protection for cookie-based mutations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GET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/api/v1/vessels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Viewport bbox + filters + cursor/limit; returns compact latest states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GET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/api/v1/vessels/search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q, limit; exact identifier preference; normalized name search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GET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/api/v1/vessels/{mmsi}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Full current detail and provenance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GET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/api/v1/vessels/{mmsi}/track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from/to, max_points, format; simplified ordered segments with gaps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GET/POST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/api/v1/watchlists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List/create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PATCH/DELETE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/api/v1/watchlists/{id}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Update/delete; owner authorization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PUT/DELETE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/api/v1/watchlists/{id}/vessels/{mmsi}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Idempotent membership mutation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GET/POST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/api/v1/geofences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List/create validated geometry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GET/POST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/api/v1/alert-rules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List/create; support dry_run=true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GET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/api/v1/alerts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Cursor-paginated event inbox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GET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/api/v1/admin/sources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Health and non-secret configuration summary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GET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/health/live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Process liveness only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GET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/health/ready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DB/Redis/migrations readiness; providers may be degraded without failing readiness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11.1 Realtime messages</w:t>
      </w:r>
    </w:p>
    <w:p>
      <w:pPr>
        <w:pStyle w:val="ListBullet"/>
        <w:spacing w:after="80"/>
      </w:pPr>
      <w:r>
        <w:t>Client connects to /api/v1/live using an authenticated WebSocket. SSE is acceptable only if documented and all required flows remain one-way.</w:t>
      </w:r>
    </w:p>
    <w:p>
      <w:pPr>
        <w:pStyle w:val="ListBullet"/>
        <w:spacing w:after="80"/>
      </w:pPr>
      <w:r>
        <w:t>Client sends subscription.replace with viewport bbox, filters, and optional watchlist IDs. Server acknowledges with subscription version.</w:t>
      </w:r>
    </w:p>
    <w:p>
      <w:pPr>
        <w:pStyle w:val="ListBullet"/>
        <w:spacing w:after="80"/>
      </w:pPr>
      <w:r>
        <w:t>Server sends snapshot.begin, batches of vessel.snapshot, snapshot.end, then vessel.upsert and vessel.remove/stale updates.</w:t>
      </w:r>
    </w:p>
    <w:p>
      <w:pPr>
        <w:pStyle w:val="ListBullet"/>
        <w:spacing w:after="80"/>
      </w:pPr>
      <w:r>
        <w:t>Every message includes schema_version and server_time. vessel.upsert includes MMSI, changed fields, observed_at, received_at, source summary, and quality flags.</w:t>
      </w:r>
    </w:p>
    <w:p>
      <w:pPr>
        <w:pStyle w:val="ListBullet"/>
        <w:spacing w:after="80"/>
      </w:pPr>
      <w:r>
        <w:t>Heartbeat every 25 seconds; disconnect slow consumers; client reconnects with jitter and requests a fresh snapshot.</w:t>
      </w:r>
    </w:p>
    <w:p>
      <w:pPr>
        <w:pStyle w:val="Heading1"/>
        <w:keepNext/>
      </w:pPr>
      <w:r>
        <w:t>12. Provider Adapter Requirements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300"/>
        <w:gridCol w:w="5560"/>
      </w:tblGrid>
      <w:tr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Adapter</w:t>
            </w:r>
          </w:p>
        </w:tc>
        <w:tc>
          <w:tcPr>
            <w:tcW w:type="dxa" w:w="2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V1 role</w:t>
            </w:r>
          </w:p>
        </w:tc>
        <w:tc>
          <w:tcPr>
            <w:tcW w:type="dxa" w:w="55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Definition of done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AISStream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Broad prototype/global terrestrial feed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Authenticate via server secret; bbox subscription; parse supported position/static messages; reconnect/backoff; fixtures; rate/limit assumptions documented.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BarentsWatch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Official Norway coverage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OAuth/client credentials flow per current docs; streaming consumption; token refresh; mapping fixtures; coverage/licence notice; bounded retries.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AISHub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Post-V1 fallback/community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Interface and config schema only unless credentials/feed access are available.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Local receiver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Post-V1 Swedish coverage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Accept authenticated NMEA/TCP/UDP gateway through an explicitly secured ingress; never expose UDP directly to internet.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Licensed Sweden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Future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Contract placeholder; no implementation until schema/licence/access are confirmed.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12.1 Mandatory pre-build spikes</w:t>
      </w:r>
    </w:p>
    <w:p>
      <w:pPr>
        <w:pStyle w:val="ListBullet"/>
        <w:spacing w:after="80"/>
      </w:pPr>
      <w:r>
        <w:t>Run a 60-minute AISStream capture for Stockholm, Gothenburg, and Öresund bounding boxes. Record unique MMSIs, position messages/minute, update intervals, disconnects, and field completeness.</w:t>
      </w:r>
    </w:p>
    <w:p>
      <w:pPr>
        <w:pStyle w:val="ListBullet"/>
        <w:spacing w:after="80"/>
      </w:pPr>
      <w:r>
        <w:t>Run the same normalization fixtures against representative BarentsWatch messages and document token lifetime, reconnect behavior, and field mappings.</w:t>
      </w:r>
    </w:p>
    <w:p>
      <w:pPr>
        <w:pStyle w:val="ListBullet"/>
        <w:spacing w:after="80"/>
      </w:pPr>
      <w:r>
        <w:t>Confirm terms permit intended storage, display, retention, and combination of each feed. Store the result in docs/data-source-register.md.</w:t>
      </w:r>
    </w:p>
    <w:p>
      <w:pPr>
        <w:pStyle w:val="ListBullet"/>
        <w:spacing w:after="80"/>
      </w:pPr>
      <w:r>
        <w:t>Estimate position volume and 90-day storage from the capture before setting production defaults.</w:t>
      </w:r>
    </w:p>
    <w:p>
      <w:pPr>
        <w:pStyle w:val="Heading1"/>
        <w:keepNext/>
      </w:pPr>
      <w:r>
        <w:t>13. Alert Semantics</w:t>
      </w:r>
    </w:p>
    <w:p>
      <w:pPr>
        <w:pStyle w:val="ListBullet"/>
        <w:spacing w:after="80"/>
      </w:pPr>
      <w:r>
        <w:t>Geofence enter occurs only when the previous accepted point is outside and a new accepted point is inside. Exit is the inverse.</w:t>
      </w:r>
    </w:p>
    <w:p>
      <w:pPr>
        <w:pStyle w:val="ListBullet"/>
        <w:spacing w:after="80"/>
      </w:pPr>
      <w:r>
        <w:t>If the prior state is unknown or older than the gap threshold, label the event possible_enter/possible_exit and suppress external delivery by default.</w:t>
      </w:r>
    </w:p>
    <w:p>
      <w:pPr>
        <w:pStyle w:val="ListBullet"/>
        <w:spacing w:after="80"/>
      </w:pPr>
      <w:r>
        <w:t>Use PostGIS geography containment and explicit boundary behavior; reject self-intersecting polygons.</w:t>
      </w:r>
    </w:p>
    <w:p>
      <w:pPr>
        <w:pStyle w:val="ListBullet"/>
        <w:spacing w:after="80"/>
      </w:pPr>
      <w:r>
        <w:t>Apply per rule+vessel+event cooldown. transition_key must make replay idempotent.</w:t>
      </w:r>
    </w:p>
    <w:p>
      <w:pPr>
        <w:pStyle w:val="ListBullet"/>
        <w:spacing w:after="80"/>
      </w:pPr>
      <w:r>
        <w:t>Stale alert triggers once after threshold and resets only after a credible new observation; reappeared is a separate event.</w:t>
      </w:r>
    </w:p>
    <w:p>
      <w:pPr>
        <w:pStyle w:val="ListBullet"/>
        <w:spacing w:after="80"/>
      </w:pPr>
      <w:r>
        <w:t>Delivery failures never roll back the alert event. Retry with exponential backoff, cap attempts, expose dead-letter state.</w:t>
      </w:r>
    </w:p>
    <w:p>
      <w:pPr>
        <w:pStyle w:val="Heading1"/>
        <w:keepNext/>
      </w:pPr>
      <w:r>
        <w:t>14. Non-functional Requirements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Area</w:t>
            </w:r>
          </w:p>
        </w:tc>
        <w:tc>
          <w:tcPr>
            <w:tcW w:type="dxa" w:w="76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Requirement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Performance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Reference load: 10k current vessels, 1k accepted observations/sec burst for 60 sec, 10 connected clients, 500 starred vessels/user. No unbounded in-memory collections.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Availability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Serve cached latest/history when all providers are down. Restart-safe ingestion and idempotent writes. RPO ≤ 24h and operator-documented RTO ≤ 2h for V1.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Security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Secrets from environment/secret files; Argon2id hashes; secure/HttpOnly/SameSite cookies; CSRF; CSP; CORS deny-by-default; input/body/bbox limits; dependency/container scanning.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Privacy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No analytics by default. Log MMSI where operationally needed but never credentials, API keys, session tokens, or full webhook bodies.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Observability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Structured logs, Prometheus metrics, request IDs, provider state transitions, ingest→persist→publish lag, queue depth, DB errors, alert delivery outcomes.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Maintainability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Strict typing; migrations; adapter conformance tests; OpenAPI generated from code; ADRs for major decisions; pinned dependencies with automated updates.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Compatibility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Latest two major Chrome/Firefox/Safari/Edge versions; x86_64 and arm64 container builds where dependencies permit.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Data quality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Reject invalid coordinates/identifiers; flag impossible jumps and clock skew; retain explainable provenance and raw diagnostic reference.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15. Security Threat Model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c>
          <w:tcPr>
            <w:tcW w:type="dxa" w:w="24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Threat</w:t>
            </w:r>
          </w:p>
        </w:tc>
        <w:tc>
          <w:tcPr>
            <w:tcW w:type="dxa" w:w="69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Required mitigation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Malicious AIS payload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Schema limits, string length/control-character cleaning, numeric bounds, parser isolation, no template/SQL interpolation.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Credential leakage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Server-only secrets, redacted logs/errors, .env.example placeholders, secret scanning, documented key rotation.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Unauthorized remote access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Auth-by-default outside loopback; reverse-proxy TLS guide; lockout/rate limits; secure sessions.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WebSocket abuse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Origin check, authenticated handshake, subscription bbox/result limits, per-client rate/backpressure limits.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Webhook SSRF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Explicit allowlist or block private/link-local/metadata ranges; DNS re-resolution defense; signed payload; timeout and size limits.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Resource exhaustion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Bound queues, raw retention, database quotas/alerts, viewport caps, track max_points, graceful load shedding.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Supply chain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Lockfiles, SBOM, minimal non-root images, image scanning, patch policy.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16. Deployment and Operations</w:t>
      </w:r>
    </w:p>
    <w:p>
      <w:pPr>
        <w:pStyle w:val="Heading2"/>
        <w:keepNext/>
      </w:pPr>
      <w:r>
        <w:t>16.1 Required Docker Compose services</w:t>
      </w:r>
    </w:p>
    <w:p>
      <w:pPr>
        <w:pStyle w:val="ListBullet"/>
        <w:spacing w:after="80"/>
      </w:pPr>
      <w:r>
        <w:t>web: static frontend served by a minimal web server or reverse proxy.</w:t>
      </w:r>
    </w:p>
    <w:p>
      <w:pPr>
        <w:pStyle w:val="ListBullet"/>
        <w:spacing w:after="80"/>
      </w:pPr>
      <w:r>
        <w:t>api: REST/realtime gateway and rule management.</w:t>
      </w:r>
    </w:p>
    <w:p>
      <w:pPr>
        <w:pStyle w:val="ListBullet"/>
        <w:spacing w:after="80"/>
      </w:pPr>
      <w:r>
        <w:t>worker-ingest: provider adapters and normalization.</w:t>
      </w:r>
    </w:p>
    <w:p>
      <w:pPr>
        <w:pStyle w:val="ListBullet"/>
        <w:spacing w:after="80"/>
      </w:pPr>
      <w:r>
        <w:t>worker-alerts: rule evaluation and notification delivery.</w:t>
      </w:r>
    </w:p>
    <w:p>
      <w:pPr>
        <w:pStyle w:val="ListBullet"/>
        <w:spacing w:after="80"/>
      </w:pPr>
      <w:r>
        <w:t>postgres: PostgreSQL + PostGIS with persistent volume and health check.</w:t>
      </w:r>
    </w:p>
    <w:p>
      <w:pPr>
        <w:pStyle w:val="ListBullet"/>
        <w:spacing w:after="80"/>
      </w:pPr>
      <w:r>
        <w:t>redis: streams/cache with persistence appropriate to its role.</w:t>
      </w:r>
    </w:p>
    <w:p>
      <w:pPr>
        <w:pStyle w:val="ListBullet"/>
        <w:spacing w:after="80"/>
      </w:pPr>
      <w:r>
        <w:t>caddy (optional profile): local TLS/reverse proxy; disabled when operator supplies one.</w:t>
      </w:r>
    </w:p>
    <w:p>
      <w:pPr>
        <w:pStyle w:val="Heading2"/>
        <w:keepNext/>
      </w:pPr>
      <w:r>
        <w:t>16.2 Configuration</w:t>
      </w:r>
    </w:p>
    <w:p>
      <w:pPr>
        <w:pStyle w:val="ListBullet"/>
        <w:spacing w:after="80"/>
      </w:pPr>
      <w:r>
        <w:t>Provide .env.example with no real secrets and validation that fails fast with actionable messages.</w:t>
      </w:r>
    </w:p>
    <w:p>
      <w:pPr>
        <w:pStyle w:val="ListBullet"/>
        <w:spacing w:after="80"/>
      </w:pPr>
      <w:r>
        <w:t>Geographic subscriptions are configuration records, not hard-coded constants. Ship Stockholm/Gothenburg/Öresund/Baltic examples disabled or documented.</w:t>
      </w:r>
    </w:p>
    <w:p>
      <w:pPr>
        <w:pStyle w:val="ListBullet"/>
        <w:spacing w:after="80"/>
      </w:pPr>
      <w:r>
        <w:t>Database migrations run as an explicit one-shot service/job before app readiness, not concurrently from every replica.</w:t>
      </w:r>
    </w:p>
    <w:p>
      <w:pPr>
        <w:pStyle w:val="ListBullet"/>
        <w:spacing w:after="80"/>
      </w:pPr>
      <w:r>
        <w:t>Include backup and restore scripts/instructions using pg_dump/pg_restore, with quarterly restore-test recommendation.</w:t>
      </w:r>
    </w:p>
    <w:p>
      <w:pPr>
        <w:pStyle w:val="ListBullet"/>
        <w:spacing w:after="80"/>
      </w:pPr>
      <w:r>
        <w:t>Health checks distinguish liveness, platform readiness, and degraded external sources.</w:t>
      </w:r>
    </w:p>
    <w:p>
      <w:pPr>
        <w:pStyle w:val="Heading1"/>
        <w:keepNext/>
      </w:pPr>
      <w:r>
        <w:t>17. Testing Strategy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7760"/>
      </w:tblGrid>
      <w:tr>
        <w:tc>
          <w:tcPr>
            <w:tcW w:type="dxa" w:w="1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Layer</w:t>
            </w:r>
          </w:p>
        </w:tc>
        <w:tc>
          <w:tcPr>
            <w:tcW w:type="dxa" w:w="77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Required coverage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Unit</w:t>
            </w:r>
          </w:p>
        </w:tc>
        <w:tc>
          <w:tcPr>
            <w:tcW w:type="dxa" w:w="7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Provider mappings, coordinate/time validation, identity normalization, dedupe keys, source selection, geofence transitions, cooldowns.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Contract</w:t>
            </w:r>
          </w:p>
        </w:tc>
        <w:tc>
          <w:tcPr>
            <w:tcW w:type="dxa" w:w="7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Recorded/sanitized provider fixtures; adapter emits canonical schema; schema drift produces visible quarantine metrics.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Integration</w:t>
            </w:r>
          </w:p>
        </w:tc>
        <w:tc>
          <w:tcPr>
            <w:tcW w:type="dxa" w:w="7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PostGIS queries, migrations, Redis stream replay, WebSocket snapshots/deltas, auth/authorization, notification retries.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End-to-end</w:t>
            </w:r>
          </w:p>
        </w:tc>
        <w:tc>
          <w:tcPr>
            <w:tcW w:type="dxa" w:w="7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Login → live map → search → star → history → geofence/rule → simulated event → alert inbox/delivery.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Performance</w:t>
            </w:r>
          </w:p>
        </w:tc>
        <w:tc>
          <w:tcPr>
            <w:tcW w:type="dxa" w:w="7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10k snapshot, update burst, 500-star watchlist, large history query with simplification, slow WebSocket client.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Chaos</w:t>
            </w:r>
          </w:p>
        </w:tc>
        <w:tc>
          <w:tcPr>
            <w:tcW w:type="dxa" w:w="7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Provider disconnect/TLS failure, duplicate/reordered messages, DB restart, Redis restart, worker crash, clock-skewed payload.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Security</w:t>
            </w:r>
          </w:p>
        </w:tc>
        <w:tc>
          <w:tcPr>
            <w:tcW w:type="dxa" w:w="7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OWASP checks, auth brute-force/rate limit, CSRF/CORS/origin, SSRF, oversized messages, dependency/image scan.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Visual/accessibility</w:t>
            </w:r>
          </w:p>
        </w:tc>
        <w:tc>
          <w:tcPr>
            <w:tcW w:type="dxa" w:w="7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Responsive snapshots, keyboard flows, axe automated checks, readable stale/source states.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18. Release Acceptance Criteria</w:t>
      </w:r>
    </w:p>
    <w:p>
      <w:pPr>
        <w:pStyle w:val="ListBullet"/>
        <w:spacing w:after="80"/>
      </w:pPr>
      <w:r>
        <w:t>☐ A clean machine can clone the repository, set documented environment values, run Docker Compose, create/admin-login, and reach a healthy map.</w:t>
      </w:r>
    </w:p>
    <w:p>
      <w:pPr>
        <w:pStyle w:val="ListBullet"/>
        <w:spacing w:after="80"/>
      </w:pPr>
      <w:r>
        <w:t>☐ At least one live provider can be enabled without changing code; AISStream and BarentsWatch adapters pass conformance fixtures.</w:t>
      </w:r>
    </w:p>
    <w:p>
      <w:pPr>
        <w:pStyle w:val="ListBullet"/>
        <w:spacing w:after="80"/>
      </w:pPr>
      <w:r>
        <w:t>☐ The UI displays at least 10,000 simulated current vessels without freezing and honors freshness styling and viewport filtering.</w:t>
      </w:r>
    </w:p>
    <w:p>
      <w:pPr>
        <w:pStyle w:val="ListBullet"/>
        <w:spacing w:after="80"/>
      </w:pPr>
      <w:r>
        <w:t>☐ A user can search by MMSI and name, star 500 vessels, organize multiple lists, and export/import the watchlist without data loss.</w:t>
      </w:r>
    </w:p>
    <w:p>
      <w:pPr>
        <w:pStyle w:val="ListBullet"/>
        <w:spacing w:after="80"/>
      </w:pPr>
      <w:r>
        <w:t>☐ Track queries return ordered segments, visibly preserve gaps, and cap/simplify response size.</w:t>
      </w:r>
    </w:p>
    <w:p>
      <w:pPr>
        <w:pStyle w:val="ListBullet"/>
        <w:spacing w:after="80"/>
      </w:pPr>
      <w:r>
        <w:t>☐ Provider outage is visible within 60 seconds; stored data remains available; recovery occurs automatically and does not duplicate history or alerts.</w:t>
      </w:r>
    </w:p>
    <w:p>
      <w:pPr>
        <w:pStyle w:val="ListBullet"/>
        <w:spacing w:after="80"/>
      </w:pPr>
      <w:r>
        <w:t>☐ Geofence enter/exit and stale/reappeared tests produce one idempotent alert event and correct delivery retry behavior.</w:t>
      </w:r>
    </w:p>
    <w:p>
      <w:pPr>
        <w:pStyle w:val="ListBullet"/>
        <w:spacing w:after="80"/>
      </w:pPr>
      <w:r>
        <w:t>☐ No secret appears in browser bundles, logs, API error payloads, repository history, or sample configuration.</w:t>
      </w:r>
    </w:p>
    <w:p>
      <w:pPr>
        <w:pStyle w:val="ListBullet"/>
        <w:spacing w:after="80"/>
      </w:pPr>
      <w:r>
        <w:t>☐ Backup and restore are executed successfully on the release candidate.</w:t>
      </w:r>
    </w:p>
    <w:p>
      <w:pPr>
        <w:pStyle w:val="ListBullet"/>
        <w:spacing w:after="80"/>
      </w:pPr>
      <w:r>
        <w:t>☐ README states data limitations and “not for navigation”; source terms/attribution requirements are recorded and displayed where required.</w:t>
      </w:r>
    </w:p>
    <w:p>
      <w:pPr>
        <w:pStyle w:val="Heading1"/>
        <w:keepNext/>
      </w:pPr>
      <w:r>
        <w:t>19. Phased Implementation Plan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4550"/>
        <w:gridCol w:w="3360"/>
      </w:tblGrid>
      <w:tr>
        <w:tc>
          <w:tcPr>
            <w:tcW w:type="dxa" w:w="14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Phase</w:t>
            </w:r>
          </w:p>
        </w:tc>
        <w:tc>
          <w:tcPr>
            <w:tcW w:type="dxa" w:w="45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Deliverable</w:t>
            </w:r>
          </w:p>
        </w:tc>
        <w:tc>
          <w:tcPr>
            <w:tcW w:type="dxa" w:w="33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Exit gate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0 — Discovery/spikes</w:t>
            </w:r>
          </w:p>
        </w:tc>
        <w:tc>
          <w:tcPr>
            <w:tcW w:type="dxa" w:w="45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Monorepo scaffold, ADRs, provider capture tools, source register, sizing model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Stockholm/Baltic and Norway evidence captured; licensing/storage assumptions documented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1 — Walking skeleton</w:t>
            </w:r>
          </w:p>
        </w:tc>
        <w:tc>
          <w:tcPr>
            <w:tcW w:type="dxa" w:w="45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Compose stack, auth, migrations, canonical schema, simulator adapter, health/metrics, basic map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Simulated event reaches map through full pipeline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2 — Live ingestion</w:t>
            </w:r>
          </w:p>
        </w:tc>
        <w:tc>
          <w:tcPr>
            <w:tcW w:type="dxa" w:w="45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AISStream + BarentsWatch adapters, dedupe, latest/history, source health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Reconnect/replay/invalid-message tests pass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3 — Core product</w:t>
            </w:r>
          </w:p>
        </w:tc>
        <w:tc>
          <w:tcPr>
            <w:tcW w:type="dxa" w:w="45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Search, vessel sheet, watchlists, filters, track history/export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500-star and 10k-map performance gates pass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4 — Alerts</w:t>
            </w:r>
          </w:p>
        </w:tc>
        <w:tc>
          <w:tcPr>
            <w:tcW w:type="dxa" w:w="45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Geofences, rule engine, inbox, email/webhook, retries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Deterministic transition and idempotency suite passes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5 — Hardening/release</w:t>
            </w:r>
          </w:p>
        </w:tc>
        <w:tc>
          <w:tcPr>
            <w:tcW w:type="dxa" w:w="45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Security, accessibility, backups, retention, runbooks, chaos/load tests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All release acceptance criteria signed off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20. Repository Structure and Coding-Agent Instructions</w:t>
      </w:r>
    </w:p>
    <w:p>
      <w:pPr>
        <w:spacing w:after="120"/>
      </w:pPr>
      <w:r>
        <w:t>Use a monorepo with independently testable boundaries. The following layout is normative unless the agent records an ADR explaining a materially better alternative.</w:t>
      </w:r>
    </w:p>
    <w:p>
      <w:pPr>
        <w:pStyle w:val="ListBullet"/>
        <w:spacing w:after="80"/>
      </w:pPr>
      <w:r>
        <w:t>apps/web — React/TypeScript user interface</w:t>
      </w:r>
    </w:p>
    <w:p>
      <w:pPr>
        <w:pStyle w:val="ListBullet"/>
        <w:spacing w:after="80"/>
      </w:pPr>
      <w:r>
        <w:t>apps/api — FastAPI routes, auth, realtime gateway</w:t>
      </w:r>
    </w:p>
    <w:p>
      <w:pPr>
        <w:pStyle w:val="ListBullet"/>
        <w:spacing w:after="80"/>
      </w:pPr>
      <w:r>
        <w:t>workers/ingest — adapters, normalization, dedupe, persistence consumer</w:t>
      </w:r>
    </w:p>
    <w:p>
      <w:pPr>
        <w:pStyle w:val="ListBullet"/>
        <w:spacing w:after="80"/>
      </w:pPr>
      <w:r>
        <w:t>workers/alerts — transition evaluation and deliveries</w:t>
      </w:r>
    </w:p>
    <w:p>
      <w:pPr>
        <w:pStyle w:val="ListBullet"/>
        <w:spacing w:after="80"/>
      </w:pPr>
      <w:r>
        <w:t>packages/contracts — JSON Schema/OpenAPI-generated TypeScript/Python shared contracts</w:t>
      </w:r>
    </w:p>
    <w:p>
      <w:pPr>
        <w:pStyle w:val="ListBullet"/>
        <w:spacing w:after="80"/>
      </w:pPr>
      <w:r>
        <w:t>packages/test-fixtures — sanitized provider fixtures and simulator scenarios</w:t>
      </w:r>
    </w:p>
    <w:p>
      <w:pPr>
        <w:pStyle w:val="ListBullet"/>
        <w:spacing w:after="80"/>
      </w:pPr>
      <w:r>
        <w:t>infra/compose — Compose files, health checks, proxy profile</w:t>
      </w:r>
    </w:p>
    <w:p>
      <w:pPr>
        <w:pStyle w:val="ListBullet"/>
        <w:spacing w:after="80"/>
      </w:pPr>
      <w:r>
        <w:t>migrations — Alembic migrations</w:t>
      </w:r>
    </w:p>
    <w:p>
      <w:pPr>
        <w:pStyle w:val="ListBullet"/>
        <w:spacing w:after="80"/>
      </w:pPr>
      <w:r>
        <w:t>docs/adr — architecture decisions</w:t>
      </w:r>
    </w:p>
    <w:p>
      <w:pPr>
        <w:pStyle w:val="ListBullet"/>
        <w:spacing w:after="80"/>
      </w:pPr>
      <w:r>
        <w:t>docs/runbooks — deploy, source outage, backup/restore, key rotation</w:t>
      </w:r>
    </w:p>
    <w:p>
      <w:pPr>
        <w:pStyle w:val="ListBullet"/>
        <w:spacing w:after="80"/>
      </w:pPr>
      <w:r>
        <w:t>tests/e2e and tests/performance — black-box suites</w:t>
      </w:r>
    </w:p>
    <w:p>
      <w:pPr>
        <w:pStyle w:val="Heading2"/>
        <w:keepNext/>
      </w:pPr>
      <w:r>
        <w:t>20.1 Agent execution rules</w:t>
      </w:r>
    </w:p>
    <w:p>
      <w:pPr>
        <w:pStyle w:val="ListBullet"/>
        <w:spacing w:after="80"/>
      </w:pPr>
      <w:r>
        <w:t>Do not begin full UI work before the provider spikes and canonical contract are committed.</w:t>
      </w:r>
    </w:p>
    <w:p>
      <w:pPr>
        <w:pStyle w:val="ListBullet"/>
        <w:spacing w:after="80"/>
      </w:pPr>
      <w:r>
        <w:t>Implement one vertical slice at a time and keep main branch runnable. Each slice includes migration, API contract, tests, telemetry, docs, and UI state.</w:t>
      </w:r>
    </w:p>
    <w:p>
      <w:pPr>
        <w:pStyle w:val="ListBullet"/>
        <w:spacing w:after="80"/>
      </w:pPr>
      <w:r>
        <w:t>Do not invent provider fields or limits. Link current official documentation in adapter README files and encode assumptions as tests/configuration.</w:t>
      </w:r>
    </w:p>
    <w:p>
      <w:pPr>
        <w:pStyle w:val="ListBullet"/>
        <w:spacing w:after="80"/>
      </w:pPr>
      <w:r>
        <w:t>Never couple React components to raw provider JSON. Generate typed clients/contracts from the canonical API schema.</w:t>
      </w:r>
    </w:p>
    <w:p>
      <w:pPr>
        <w:pStyle w:val="ListBullet"/>
        <w:spacing w:after="80"/>
      </w:pPr>
      <w:r>
        <w:t>Prefer simple, reversible technology choices. Do not add Kubernetes, Kafka, microservices, TimescaleDB, or a component library without a measured need and ADR.</w:t>
      </w:r>
    </w:p>
    <w:p>
      <w:pPr>
        <w:pStyle w:val="ListBullet"/>
        <w:spacing w:after="80"/>
      </w:pPr>
      <w:r>
        <w:t>Use deterministic simulator fixtures for CI; live-provider tests are opt-in and never required for ordinary CI.</w:t>
      </w:r>
    </w:p>
    <w:p>
      <w:pPr>
        <w:pStyle w:val="ListBullet"/>
        <w:spacing w:after="80"/>
      </w:pPr>
      <w:r>
        <w:t>Every background operation must be bounded, retry-aware, observable, and idempotent.</w:t>
      </w:r>
    </w:p>
    <w:p>
      <w:pPr>
        <w:pStyle w:val="ListBullet"/>
        <w:spacing w:after="80"/>
      </w:pPr>
      <w:r>
        <w:t>Before declaring a phase complete, run formatting, linting, type checks, unit/integration/e2e tests, migration up/down validation, secret scan, image build, and the phase exit gate.</w:t>
      </w:r>
    </w:p>
    <w:p>
      <w:pPr>
        <w:pStyle w:val="Heading2"/>
        <w:keepNext/>
      </w:pPr>
      <w:r>
        <w:t>20.2 Definition of done for every story</w:t>
      </w:r>
    </w:p>
    <w:p>
      <w:pPr>
        <w:pStyle w:val="ListBullet"/>
        <w:spacing w:after="80"/>
      </w:pPr>
      <w:r>
        <w:t>Acceptance criteria demonstrated by automated test or reproducible manual procedure.</w:t>
      </w:r>
    </w:p>
    <w:p>
      <w:pPr>
        <w:pStyle w:val="ListBullet"/>
        <w:spacing w:after="80"/>
      </w:pPr>
      <w:r>
        <w:t>Failure/loading/empty/stale/unauthorized states handled.</w:t>
      </w:r>
    </w:p>
    <w:p>
      <w:pPr>
        <w:pStyle w:val="ListBullet"/>
        <w:spacing w:after="80"/>
      </w:pPr>
      <w:r>
        <w:t>No unbounded query, queue, subscription, or payload.</w:t>
      </w:r>
    </w:p>
    <w:p>
      <w:pPr>
        <w:pStyle w:val="ListBullet"/>
        <w:spacing w:after="80"/>
      </w:pPr>
      <w:r>
        <w:t>Metrics/logs added for operationally significant paths; secrets and personal data redacted.</w:t>
      </w:r>
    </w:p>
    <w:p>
      <w:pPr>
        <w:pStyle w:val="ListBullet"/>
        <w:spacing w:after="80"/>
      </w:pPr>
      <w:r>
        <w:t>Schema/API changes migrated/versioned and documentation updated.</w:t>
      </w:r>
    </w:p>
    <w:p>
      <w:pPr>
        <w:pStyle w:val="ListBullet"/>
        <w:spacing w:after="80"/>
      </w:pPr>
      <w:r>
        <w:t>Accessible keyboard flow and responsive UI checked where applicable.</w:t>
      </w:r>
    </w:p>
    <w:p>
      <w:pPr>
        <w:pStyle w:val="Heading1"/>
        <w:keepNext/>
      </w:pPr>
      <w:r>
        <w:t>21. Risks, Assumptions, and Open Decisions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4900"/>
        <w:gridCol w:w="2260"/>
      </w:tblGrid>
      <w:tr>
        <w:tc>
          <w:tcPr>
            <w:tcW w:type="dxa" w:w="2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Item</w:t>
            </w:r>
          </w:p>
        </w:tc>
        <w:tc>
          <w:tcPr>
            <w:tcW w:type="dxa" w:w="4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Status / mitigation</w:t>
            </w:r>
          </w:p>
        </w:tc>
        <w:tc>
          <w:tcPr>
            <w:tcW w:type="dxa" w:w="22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Decision gate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AISStream coverage and reliability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Unverified for target regions at production quality; complete measured capture spike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Before Phase 2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Provider storage/licence terms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Must be reviewed for retention, redistribution, attribution, and feed combination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Before persisting live data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BarentsWatch schema/auth behavior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Use current official docs and fixtures; no hard-coded token assumptions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Before adapter completion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Swedish official feed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Not a V1 dependency; future adapter only after commercial/access decision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Post-V1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Port arrival/departure inference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Requires port geometry and robust dwell logic; exclude from P0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After geofence accuracy review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Single-user vs small-team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Build ownership columns and role skeleton, but optimize V1 UX for one admin/user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Before public exposure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Retention/storage cost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Set after capture-based volume model; expose configuration and metrics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End of Phase 0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22. Source and Validation Register</w:t>
      </w:r>
    </w:p>
    <w:p>
      <w:pPr>
        <w:spacing w:after="120"/>
      </w:pPr>
      <w:r>
        <w:t>These sources establish starting points, not immutable contracts. The coding agent must re-check current documentation and terms when implementing each adapter.</w:t>
      </w:r>
    </w:p>
    <w:p>
      <w:pPr>
        <w:pStyle w:val="ListBullet"/>
        <w:spacing w:after="80"/>
      </w:pPr>
      <w:r>
        <w:t>BarentsWatch Developer — Live AIS API and authentication: https://developer.barentswatch.no/docs/AIS/live-ais-api/</w:t>
      </w:r>
    </w:p>
    <w:p>
      <w:pPr>
        <w:pStyle w:val="ListBullet"/>
        <w:spacing w:after="80"/>
      </w:pPr>
      <w:r>
        <w:t>AISStream documentation — WebSocket subscription and message shapes: https://aisstream.io/documentation</w:t>
      </w:r>
    </w:p>
    <w:p>
      <w:pPr>
        <w:pStyle w:val="ListBullet"/>
        <w:spacing w:after="80"/>
      </w:pPr>
      <w:r>
        <w:t>AISStream open-source organization/examples: https://github.com/aisstream</w:t>
      </w:r>
    </w:p>
    <w:p>
      <w:pPr>
        <w:pStyle w:val="ListBullet"/>
        <w:spacing w:after="80"/>
      </w:pPr>
      <w:r>
        <w:t>AIS_Tracker reference implementation: https://github.com/arandomguyhere/AIS_Tracker</w:t>
      </w:r>
    </w:p>
    <w:p>
      <w:pPr>
        <w:pStyle w:val="ListBullet"/>
        <w:spacing w:after="80"/>
      </w:pPr>
      <w:r>
        <w:t>BridgeView AIS reference implementation: https://github.com/tmcknight/bridgeview-ais</w:t>
      </w:r>
    </w:p>
    <w:p>
      <w:pPr>
        <w:pStyle w:val="ListBullet"/>
        <w:spacing w:after="80"/>
      </w:pPr>
      <w:r>
        <w:t>MapLibre GL JS: https://maplibre.org/maplibre-gl-js/docs/</w:t>
      </w:r>
    </w:p>
    <w:p>
      <w:pPr>
        <w:pStyle w:val="ListBullet"/>
        <w:spacing w:after="80"/>
      </w:pPr>
      <w:r>
        <w:t>PostGIS documentation: https://postgis.net/documentation/</w:t>
      </w:r>
    </w:p>
    <w:p>
      <w:pPr>
        <w:pStyle w:val="Heading1"/>
        <w:keepNext/>
      </w:pPr>
      <w:r>
        <w:t>Appendix A — Configuration Baseline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1700"/>
        <w:gridCol w:w="4060"/>
      </w:tblGrid>
      <w:tr>
        <w:tc>
          <w:tcPr>
            <w:tcW w:type="dxa" w:w="3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Setting</w:t>
            </w:r>
          </w:p>
        </w:tc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Default</w:t>
            </w:r>
          </w:p>
        </w:tc>
        <w:tc>
          <w:tcPr>
            <w:tcW w:type="dxa" w:w="40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Notes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POSITION_RETENTION_DAYS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90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Adjust after measured volume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RAW_MESSAGE_RETENTION_HOURS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24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May be 0 to disable after debugging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LIVE_FRESH_SECONDS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120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UI state threshold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STALE_SECONDS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900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UI and optional rule threshold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TRACK_MAX_POINTS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5000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Simplify server-side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VIEWPORT_MAX_RESULTS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20000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Return truncation metadata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WS_HEARTBEAT_SECONDS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25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Server heartbeat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ALERT_DEFAULT_COOLDOWN_SECONDS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900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Per rule/vessel/event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PROVIDER_BACKOFF_MAX_SECONDS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60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Exponential + jitter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RAW_MESSAGE_MAX_BYTES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65536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Reject/quarantine oversize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Appendix B — Example Canonical Event</w:t>
      </w:r>
    </w:p>
    <w:p>
      <w:pPr>
        <w:keepLines/>
        <w:spacing w:after="120"/>
      </w:pPr>
      <w:r>
        <w:rPr>
          <w:rFonts w:ascii="Courier New" w:hAnsi="Courier New"/>
          <w:sz w:val="17"/>
        </w:rPr>
        <w:t>{</w:t>
        <w:br/>
        <w:t xml:space="preserve">  "schema_version": 1,</w:t>
        <w:br/>
        <w:t xml:space="preserve">  "source": "aisstream",</w:t>
        <w:br/>
        <w:t xml:space="preserve">  "received_at": "2026-09-02T12:00:01Z",</w:t>
        <w:br/>
        <w:t xml:space="preserve">  "observed_at": "2026-09-02T12:00:00Z",</w:t>
        <w:br/>
        <w:t xml:space="preserve">  "mmsi": "265123456",</w:t>
        <w:br/>
        <w:t xml:space="preserve">  "message_type": 1,</w:t>
        <w:br/>
        <w:t xml:space="preserve">  "position": {"lon": 18.1123, "lat": 59.3321},</w:t>
        <w:br/>
        <w:t xml:space="preserve">  "sog_kn": 12.4,</w:t>
        <w:br/>
        <w:t xml:space="preserve">  "cog_deg": 87.2,</w:t>
        <w:br/>
        <w:t xml:space="preserve">  "heading_deg": 86,</w:t>
        <w:br/>
        <w:t xml:space="preserve">  "quality_flags": [],</w:t>
        <w:br/>
        <w:t xml:space="preserve">  "raw_ref": "&lt;uuid&gt;"</w:t>
        <w:br/>
        <w:t>}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E6B78"/>
        <w:sz w:val="17"/>
      </w:rPr>
      <w:t>Implementation-ready PRD  •  2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i w:val="0"/>
        <w:color w:val="5E6B78"/>
        <w:sz w:val="17"/>
      </w:rPr>
      <w:t>BALTIC VESSEL TRACKER  |  PRODUCT REQUIREMENTS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732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7324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20"/>
    </w:pPr>
    <w:rPr>
      <w:rFonts w:asciiTheme="majorHAnsi" w:eastAsiaTheme="majorEastAsia" w:hAnsiTheme="majorHAnsi" w:cstheme="majorBidi" w:ascii="Calibri" w:hAnsi="Calibri"/>
      <w:b w:val="0"/>
      <w:i/>
      <w:iCs/>
      <w:color w:val="5E6B78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64" w:lineRule="auto"/>
      <w:contextualSpacing/>
    </w:pPr>
    <w:rPr>
      <w:rFonts w:ascii="Calibri" w:hAnsi="Calibri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4" w:lineRule="auto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Baltic Vessel Tracker — Product Requirements Document</dc:title>
  <dc:subject>Implementation-ready PRD for a self-hosted AIS vessel tracking application</dc:subject>
  <dc:creator>OpenAI</dc:creator>
  <cp:keywords>AIS, vessel tracking, Baltic, Sweden, Norway, PRD, self-hosted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