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preserve">Table 1: Change In The Emphasis Of Perot’s Top Issues In Major Party Platforms Over The Extended Ross Perot Movement**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Change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†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‡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Ross Perot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Republican Party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× 10^-2 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 × 10^-7 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× 10^-1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Democratic Party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Political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 × 10^-1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Governmental and Administrative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× 10^-2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 Way of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× 10^-3 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Orthodoxy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× 10^-2 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Democracy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× 10^-5 ***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*</w:t>
            </w:r>
            <w:r>
              <w:rPr>
                <w:rFonts w:ascii="Calibri" w:hAnsi="Calibri"/>
                <w:sz w:val="20"/>
              </w:rPr>
              <w:t xml:space="default">The numbers in this table are measured in percentage points.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†</w:t>
            </w:r>
            <w:r>
              <w:rPr>
                <w:rFonts w:ascii="Calibri" w:hAnsi="Calibri"/>
                <w:sz w:val="20"/>
              </w:rPr>
              <w:t xml:space="default">All figures in this paper were generated from whole, unrounded data, so derivative statistics, such as change, may appear to be off by +/-0.1.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‡</w:t>
            </w:r>
            <w:r>
              <w:rPr>
                <w:rFonts w:ascii="Calibri" w:hAnsi="Calibri"/>
                <w:sz w:val="20"/>
              </w:rPr>
              <w:t xml:space="default">Significance codes: 0 ‘***’ 0.01 ‘**’ 0.05 ‘*’ 0.1 ‘ ’ 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2026-06-11T21:19:56Z</dcterms:created>
  <dcterms:modified xsi:type="dcterms:W3CDTF">2026-06-11T21:19:56Z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