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2: Change In The Position Taken By Major Party Platforms On Perot’s Top Issues Over The Extended Ross Perot Movement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Change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Ross Perot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Republican Party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× 10^-2 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× 10^-4 ***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Democratic Party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× 10^-6 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× 10^-3 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 × 10^-2 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  <w:r>
              <w:rPr>
                <w:rFonts w:ascii="Calibri" w:hAnsi="Calibri"/>
                <w:sz w:val="20"/>
              </w:rPr>
              <w:t xml:space="default">Because 'Change' is the in distance from Perot's position, 'Change' is not necessarily equal to the difference between 2000 and 1992 scores.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†</w:t>
            </w:r>
            <w:r>
              <w:rPr>
                <w:rFonts w:ascii="Calibri" w:hAnsi="Calibri"/>
                <w:sz w:val="20"/>
              </w:rPr>
              <w:t xml:space="default">Significance codes: 0 ‘***’ 0.01 ‘**’ 0.05 ‘*’ 0.1 ‘ ’ 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2026-06-11T21:22:12Z</dcterms:created>
  <dcterms:modified xsi:type="dcterms:W3CDTF">2026-06-11T21:22:12Z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