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Table 3: I-Scores For Post-World War II American Minor Party Candidates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Election(s)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Party/Candidate Name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Vote Share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*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Seats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Ie-Score (Interpreted)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Ip-Score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Green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McMullin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2012-2020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Libertarian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1996-2000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Green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Libertarian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0.60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1992-1996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Perot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Anderson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Libertarian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McCarthy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1968-1972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Independent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Thurmond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Wallace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*</w:t>
            </w:r>
            <w:r>
              <w:rPr>
                <w:rFonts w:ascii="Calibri" w:hAnsi="Calibri"/>
                <w:sz w:val="20"/>
              </w:rPr>
              <w:t xml:space="default">Vote share is measured in percentage points.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2026-06-12T13:19:15Z</dcterms:created>
  <dcterms:modified xsi:type="dcterms:W3CDTF">2026-06-12T13:19:15Z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