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B9F95" w14:textId="040AA084" w:rsidR="003671CB" w:rsidRPr="003671CB" w:rsidRDefault="006616ED" w:rsidP="003671CB">
      <w:pPr>
        <w:pStyle w:val="Heading1"/>
        <w:jc w:val="center"/>
        <w:rPr>
          <w:lang w:val="en-US"/>
        </w:rPr>
      </w:pPr>
      <w:r w:rsidRPr="00410338">
        <w:rPr>
          <w:lang w:val="en-US"/>
        </w:rPr>
        <w:t>Assignment 4 – Praktikum Smart Data Analytics</w:t>
      </w:r>
      <w:r w:rsidR="00B10C03">
        <w:rPr>
          <w:lang w:val="en-US"/>
        </w:rPr>
        <w:t>, Group 4</w:t>
      </w:r>
    </w:p>
    <w:p w14:paraId="640DB568" w14:textId="2562FBDD" w:rsidR="00410338" w:rsidRPr="00410338" w:rsidRDefault="006616ED" w:rsidP="00E3308D">
      <w:pPr>
        <w:pStyle w:val="Heading2"/>
        <w:rPr>
          <w:lang w:val="en-US"/>
        </w:rPr>
      </w:pPr>
      <w:r w:rsidRPr="00410338">
        <w:rPr>
          <w:lang w:val="en-US"/>
        </w:rPr>
        <w:t>Task 1</w:t>
      </w:r>
    </w:p>
    <w:p w14:paraId="039D5688" w14:textId="1C25FB17" w:rsidR="00755E6A" w:rsidRPr="00755E6A" w:rsidRDefault="003671CB" w:rsidP="003671CB">
      <w:pPr>
        <w:pStyle w:val="Heading3"/>
        <w:rPr>
          <w:lang w:val="en-US"/>
        </w:rPr>
      </w:pPr>
      <w:r>
        <w:rPr>
          <w:lang w:val="en-US"/>
        </w:rPr>
        <w:t>Benchmark-Methode</w:t>
      </w:r>
    </w:p>
    <w:p w14:paraId="023FCBD7" w14:textId="01762950" w:rsidR="00055352" w:rsidRDefault="008A4FF8" w:rsidP="2CFE4193">
      <w:pPr>
        <w:rPr>
          <w:lang w:val="de-DE"/>
        </w:rPr>
      </w:pPr>
      <w:r w:rsidRPr="008A4FF8">
        <w:rPr>
          <w:lang w:val="de-DE"/>
        </w:rPr>
        <w:t>Für die Durchführung der E</w:t>
      </w:r>
      <w:r>
        <w:rPr>
          <w:lang w:val="de-DE"/>
        </w:rPr>
        <w:t xml:space="preserve">valuation </w:t>
      </w:r>
      <w:r w:rsidR="007063DA">
        <w:rPr>
          <w:lang w:val="de-DE"/>
        </w:rPr>
        <w:t>haben wir das Causeme-Example-Skript</w:t>
      </w:r>
      <w:r w:rsidR="009971CC">
        <w:rPr>
          <w:lang w:val="de-DE"/>
        </w:rPr>
        <w:t xml:space="preserve"> </w:t>
      </w:r>
      <w:r w:rsidR="001851B8">
        <w:rPr>
          <w:lang w:val="de-DE"/>
        </w:rPr>
        <w:t>von der Causeme-Plattform angepasst.</w:t>
      </w:r>
      <w:r w:rsidR="00DD65D7">
        <w:rPr>
          <w:lang w:val="de-DE"/>
        </w:rPr>
        <w:t xml:space="preserve"> Das Skript führt eine ausgewählte Methode für Kausale Inferenz auf </w:t>
      </w:r>
      <w:r w:rsidR="002F01A6">
        <w:rPr>
          <w:lang w:val="de-DE"/>
        </w:rPr>
        <w:t xml:space="preserve">allen Daten aus </w:t>
      </w:r>
      <w:r w:rsidR="00DD65D7">
        <w:rPr>
          <w:lang w:val="de-DE"/>
        </w:rPr>
        <w:t xml:space="preserve">einem </w:t>
      </w:r>
      <w:r w:rsidR="002F01A6">
        <w:rPr>
          <w:lang w:val="de-DE"/>
        </w:rPr>
        <w:t xml:space="preserve">Benchmark-Datensatz aus und </w:t>
      </w:r>
      <w:r w:rsidR="004C2F42">
        <w:rPr>
          <w:lang w:val="de-DE"/>
        </w:rPr>
        <w:t xml:space="preserve">erzeugt aus den </w:t>
      </w:r>
      <w:r w:rsidR="002F01A6">
        <w:rPr>
          <w:lang w:val="de-DE"/>
        </w:rPr>
        <w:t>Ergebnisse</w:t>
      </w:r>
      <w:r w:rsidR="004C2F42">
        <w:rPr>
          <w:lang w:val="de-DE"/>
        </w:rPr>
        <w:t>n eine Datei zum Upload auf die Causeme-</w:t>
      </w:r>
      <w:r w:rsidR="004C2F42" w:rsidRPr="2BE874D8">
        <w:rPr>
          <w:lang w:val="de-DE"/>
        </w:rPr>
        <w:t>Pla</w:t>
      </w:r>
      <w:r w:rsidR="4DE8126B" w:rsidRPr="2BE874D8">
        <w:rPr>
          <w:lang w:val="de-DE"/>
        </w:rPr>
        <w:t>t</w:t>
      </w:r>
      <w:r w:rsidR="004C2F42" w:rsidRPr="2BE874D8">
        <w:rPr>
          <w:lang w:val="de-DE"/>
        </w:rPr>
        <w:t>tform.</w:t>
      </w:r>
    </w:p>
    <w:p w14:paraId="30238EB1" w14:textId="060C0DF3" w:rsidR="004C2F42" w:rsidRDefault="006463B5" w:rsidP="2CFE4193">
      <w:pPr>
        <w:rPr>
          <w:lang w:val="de-DE"/>
        </w:rPr>
      </w:pPr>
      <w:r w:rsidRPr="00AB0E4B">
        <w:rPr>
          <w:lang w:val="de-DE"/>
        </w:rPr>
        <w:t xml:space="preserve">Das causeme-runner.py Skript </w:t>
      </w:r>
      <w:r w:rsidR="00AB0E4B" w:rsidRPr="00AB0E4B">
        <w:rPr>
          <w:lang w:val="de-DE"/>
        </w:rPr>
        <w:t>integriert da</w:t>
      </w:r>
      <w:r w:rsidR="00AB0E4B">
        <w:rPr>
          <w:lang w:val="de-DE"/>
        </w:rPr>
        <w:t>bei PCMCI aus dem Packet TIGRAMITE sowie TCDF</w:t>
      </w:r>
      <w:r w:rsidR="00422B33">
        <w:rPr>
          <w:lang w:val="de-DE"/>
        </w:rPr>
        <w:t>. Die Auswahl von anzuwendendem Algorithmus, Benchmark-Gruppe und Datensatz erfolgt per Kommandozeilenparameter.</w:t>
      </w:r>
    </w:p>
    <w:p w14:paraId="5B95251D" w14:textId="6B27E86D" w:rsidR="00B76322" w:rsidRDefault="00B76322" w:rsidP="2CFE4193">
      <w:pPr>
        <w:rPr>
          <w:lang w:val="de-DE"/>
        </w:rPr>
      </w:pPr>
      <w:r>
        <w:rPr>
          <w:lang w:val="de-DE"/>
        </w:rPr>
        <w:t>Das Skript ist für den Einsatz in der SDIL-Batch-Umgebung optimiert (es</w:t>
      </w:r>
      <w:r w:rsidR="00712EBD">
        <w:rPr>
          <w:lang w:val="de-DE"/>
        </w:rPr>
        <w:t xml:space="preserve"> kann jedoch auch lokal ausgeführt werden und </w:t>
      </w:r>
      <w:r w:rsidR="000F7333">
        <w:rPr>
          <w:lang w:val="de-DE"/>
        </w:rPr>
        <w:t xml:space="preserve">verwendet dann automatisch relative </w:t>
      </w:r>
      <w:r w:rsidR="00C54173">
        <w:rPr>
          <w:lang w:val="de-DE"/>
        </w:rPr>
        <w:t>statt absoluter Pfade</w:t>
      </w:r>
      <w:r w:rsidR="000F7333">
        <w:rPr>
          <w:lang w:val="de-DE"/>
        </w:rPr>
        <w:t>)</w:t>
      </w:r>
      <w:r w:rsidR="00356C15">
        <w:rPr>
          <w:lang w:val="de-DE"/>
        </w:rPr>
        <w:t xml:space="preserve">. </w:t>
      </w:r>
      <w:r w:rsidR="00503D1D">
        <w:rPr>
          <w:lang w:val="de-DE"/>
        </w:rPr>
        <w:t xml:space="preserve">Die auszuführenden Experimente werden in der Datei experimente.txt eingetragen, HTCondor erzeugt dann pro Experiment einen Job. </w:t>
      </w:r>
      <w:r w:rsidR="004E65A7">
        <w:rPr>
          <w:lang w:val="de-DE"/>
        </w:rPr>
        <w:t xml:space="preserve">Um den Fortschritt während der Bearbeitung der </w:t>
      </w:r>
      <w:r w:rsidR="00A22557">
        <w:rPr>
          <w:lang w:val="de-DE"/>
        </w:rPr>
        <w:t>(</w:t>
      </w:r>
      <w:r w:rsidR="004E65A7">
        <w:rPr>
          <w:lang w:val="de-DE"/>
        </w:rPr>
        <w:t>meist 200</w:t>
      </w:r>
      <w:r w:rsidR="00A22557">
        <w:rPr>
          <w:lang w:val="de-DE"/>
        </w:rPr>
        <w:t>)</w:t>
      </w:r>
      <w:r w:rsidR="004E65A7">
        <w:rPr>
          <w:lang w:val="de-DE"/>
        </w:rPr>
        <w:t xml:space="preserve"> einzelnen Teildatensätzen </w:t>
      </w:r>
      <w:r w:rsidR="00947260">
        <w:rPr>
          <w:lang w:val="de-DE"/>
        </w:rPr>
        <w:t xml:space="preserve">zu verfolgen, werden im Ordner progress </w:t>
      </w:r>
      <w:r w:rsidR="00322B14">
        <w:rPr>
          <w:lang w:val="de-DE"/>
        </w:rPr>
        <w:t xml:space="preserve">Dateien angelegt, deren Dateinamen </w:t>
      </w:r>
      <w:r w:rsidR="008A3FD1">
        <w:rPr>
          <w:lang w:val="de-DE"/>
        </w:rPr>
        <w:t>dem</w:t>
      </w:r>
      <w:r w:rsidR="00322B14">
        <w:rPr>
          <w:lang w:val="de-DE"/>
        </w:rPr>
        <w:t xml:space="preserve"> aktuell</w:t>
      </w:r>
      <w:r w:rsidR="00DF2407">
        <w:rPr>
          <w:lang w:val="de-DE"/>
        </w:rPr>
        <w:t>en Datensatz entsprechen.</w:t>
      </w:r>
    </w:p>
    <w:p w14:paraId="78C756BB" w14:textId="50471E6D" w:rsidR="00055352" w:rsidRDefault="00F47B8D" w:rsidP="2CFE4193">
      <w:pPr>
        <w:rPr>
          <w:lang w:val="de-DE"/>
        </w:rPr>
      </w:pPr>
      <w:r w:rsidRPr="00205CB0">
        <w:rPr>
          <w:b/>
          <w:bCs/>
          <w:lang w:val="de-DE"/>
        </w:rPr>
        <w:t>Wichtig</w:t>
      </w:r>
      <w:r>
        <w:rPr>
          <w:lang w:val="de-DE"/>
        </w:rPr>
        <w:t xml:space="preserve">: Vor dem Einsatz des Skripts müssen in allen Dateien die absoluten Pfade </w:t>
      </w:r>
      <w:r w:rsidR="00205CB0">
        <w:rPr>
          <w:lang w:val="de-DE"/>
        </w:rPr>
        <w:t>angepasst werden (notwendig aufgrund des HTCondor Systems).</w:t>
      </w:r>
    </w:p>
    <w:p w14:paraId="3C5C9BA3" w14:textId="7C2A6969" w:rsidR="00176230" w:rsidRPr="00AB0E4B" w:rsidRDefault="00176230" w:rsidP="003671CB">
      <w:pPr>
        <w:pStyle w:val="Heading3"/>
        <w:rPr>
          <w:lang w:val="de-DE"/>
        </w:rPr>
      </w:pPr>
      <w:r>
        <w:rPr>
          <w:lang w:val="de-DE"/>
        </w:rPr>
        <w:t>Egebnisse</w:t>
      </w:r>
    </w:p>
    <w:p w14:paraId="10215985" w14:textId="7E8ADE34" w:rsidR="692899AF" w:rsidRDefault="692899AF" w:rsidP="2CFE4193">
      <w:pPr>
        <w:rPr>
          <w:b/>
          <w:lang w:val="de-DE"/>
        </w:rPr>
      </w:pPr>
      <w:r w:rsidRPr="00055352">
        <w:rPr>
          <w:lang w:val="de-DE"/>
        </w:rPr>
        <w:t xml:space="preserve">Im Folgenden werden die Methoden PCMCI, TCDF und </w:t>
      </w:r>
      <w:r w:rsidRPr="4CB53FCF">
        <w:rPr>
          <w:lang w:val="de-DE"/>
        </w:rPr>
        <w:t>Transfer</w:t>
      </w:r>
      <w:r w:rsidR="25C20593" w:rsidRPr="4CB53FCF">
        <w:rPr>
          <w:lang w:val="de-DE"/>
        </w:rPr>
        <w:t>entropie</w:t>
      </w:r>
      <w:r w:rsidRPr="00055352">
        <w:rPr>
          <w:lang w:val="de-DE"/>
        </w:rPr>
        <w:t xml:space="preserve"> betrachtet</w:t>
      </w:r>
      <w:r w:rsidR="51015BE6" w:rsidRPr="3A5E80ED">
        <w:rPr>
          <w:lang w:val="de-DE"/>
        </w:rPr>
        <w:t>,</w:t>
      </w:r>
      <w:r w:rsidRPr="00055352">
        <w:rPr>
          <w:lang w:val="de-DE"/>
        </w:rPr>
        <w:t xml:space="preserve"> um kausale Inferenzen in den Causeme</w:t>
      </w:r>
      <w:r w:rsidR="5DC48332" w:rsidRPr="4CB53FCF">
        <w:rPr>
          <w:lang w:val="de-DE"/>
        </w:rPr>
        <w:t>-</w:t>
      </w:r>
      <w:r w:rsidRPr="00055352">
        <w:rPr>
          <w:lang w:val="de-DE"/>
        </w:rPr>
        <w:t xml:space="preserve">Datensätzen zu erkennen. </w:t>
      </w:r>
      <w:r w:rsidR="63C1E46B" w:rsidRPr="00055352">
        <w:rPr>
          <w:lang w:val="de-DE"/>
        </w:rPr>
        <w:t xml:space="preserve"> </w:t>
      </w:r>
      <w:r w:rsidR="63C1E46B" w:rsidRPr="0A027EB4">
        <w:rPr>
          <w:lang w:val="de-DE"/>
        </w:rPr>
        <w:t>Hierbei wurden zunächst generelle Performance Analysen mit verschiedensten Experiment Datensätzen durchgeführt</w:t>
      </w:r>
      <w:r w:rsidR="4A320A91" w:rsidRPr="0A027EB4">
        <w:rPr>
          <w:lang w:val="de-DE"/>
        </w:rPr>
        <w:t>. Darauf basierend wurden die Gruppen</w:t>
      </w:r>
      <w:r w:rsidR="4A320A91" w:rsidRPr="0A027EB4">
        <w:rPr>
          <w:b/>
          <w:lang w:val="de-DE"/>
        </w:rPr>
        <w:t xml:space="preserve"> nongauss VAR</w:t>
      </w:r>
      <w:r w:rsidR="1586BAC1" w:rsidRPr="0A027EB4">
        <w:rPr>
          <w:b/>
          <w:lang w:val="de-DE"/>
        </w:rPr>
        <w:t xml:space="preserve"> </w:t>
      </w:r>
      <w:r w:rsidR="1586BAC1" w:rsidRPr="0A027EB4">
        <w:rPr>
          <w:lang w:val="de-DE"/>
        </w:rPr>
        <w:t xml:space="preserve">und </w:t>
      </w:r>
      <w:r w:rsidR="1586BAC1" w:rsidRPr="0A027EB4">
        <w:rPr>
          <w:b/>
          <w:lang w:val="de-DE"/>
        </w:rPr>
        <w:t xml:space="preserve">TestWeath </w:t>
      </w:r>
      <w:r w:rsidR="1586BAC1" w:rsidRPr="0A027EB4">
        <w:rPr>
          <w:lang w:val="de-DE"/>
        </w:rPr>
        <w:t>für einen detaillierteren Vergleich der Methoden ausgewählt.</w:t>
      </w:r>
    </w:p>
    <w:p w14:paraId="15E3ACED" w14:textId="2D371B95" w:rsidR="00422B33" w:rsidRPr="00422B33" w:rsidRDefault="28FAC5C2" w:rsidP="00422B33">
      <w:pPr>
        <w:rPr>
          <w:lang w:val="de-DE"/>
        </w:rPr>
      </w:pPr>
      <w:r w:rsidRPr="0A027EB4">
        <w:rPr>
          <w:lang w:val="de-DE"/>
        </w:rPr>
        <w:t xml:space="preserve">Um ein Gefühl für die </w:t>
      </w:r>
      <w:r w:rsidR="611BCBC9" w:rsidRPr="0A027EB4">
        <w:rPr>
          <w:lang w:val="de-DE"/>
        </w:rPr>
        <w:t>Performance</w:t>
      </w:r>
      <w:r w:rsidRPr="0A027EB4">
        <w:rPr>
          <w:lang w:val="de-DE"/>
        </w:rPr>
        <w:t xml:space="preserve"> und Laufzeit</w:t>
      </w:r>
      <w:r w:rsidR="3B74D515" w:rsidRPr="0A027EB4">
        <w:rPr>
          <w:lang w:val="de-DE"/>
        </w:rPr>
        <w:t>en der einzelnen Methoden</w:t>
      </w:r>
      <w:r w:rsidR="59190503" w:rsidRPr="0A027EB4">
        <w:rPr>
          <w:lang w:val="de-DE"/>
        </w:rPr>
        <w:t xml:space="preserve"> zu erhalten, wurden</w:t>
      </w:r>
      <w:r w:rsidR="3C50FD2A" w:rsidRPr="0A027EB4">
        <w:rPr>
          <w:lang w:val="de-DE"/>
        </w:rPr>
        <w:t xml:space="preserve"> die Methoden zunächst mit ihren Standardparametern </w:t>
      </w:r>
      <w:r w:rsidR="63CD3E44" w:rsidRPr="0A027EB4">
        <w:rPr>
          <w:lang w:val="de-DE"/>
        </w:rPr>
        <w:t>auf einzelnen Datensätzen in den Gruppen linear VAR, linear VAR aggregated, nongauss VAR, TestCLIM und TestWeath angewandt.</w:t>
      </w:r>
      <w:r w:rsidR="275FFA4B" w:rsidRPr="0A027EB4">
        <w:rPr>
          <w:lang w:val="de-DE"/>
        </w:rPr>
        <w:t xml:space="preserve"> Hierbei wurde bereits erkannt, dass die PCMCI Methode auf den linearen Datensätzen</w:t>
      </w:r>
      <w:r w:rsidR="722E6F5D" w:rsidRPr="0A027EB4">
        <w:rPr>
          <w:lang w:val="de-DE"/>
        </w:rPr>
        <w:t xml:space="preserve"> (linear var, linear var aggregated)</w:t>
      </w:r>
      <w:r w:rsidR="51685BEE" w:rsidRPr="0A027EB4">
        <w:rPr>
          <w:lang w:val="de-DE"/>
        </w:rPr>
        <w:t xml:space="preserve"> mit einer Durchschnitts</w:t>
      </w:r>
      <w:r w:rsidR="4333EDC6" w:rsidRPr="5B05F376">
        <w:rPr>
          <w:lang w:val="de-DE"/>
        </w:rPr>
        <w:t>-</w:t>
      </w:r>
      <w:r w:rsidR="51685BEE" w:rsidRPr="0A027EB4">
        <w:rPr>
          <w:lang w:val="de-DE"/>
        </w:rPr>
        <w:t>AUC von 0.95 und eine</w:t>
      </w:r>
      <w:r w:rsidR="2334B7A5" w:rsidRPr="0A027EB4">
        <w:rPr>
          <w:lang w:val="de-DE"/>
        </w:rPr>
        <w:t>r</w:t>
      </w:r>
      <w:r w:rsidR="51685BEE" w:rsidRPr="0A027EB4">
        <w:rPr>
          <w:lang w:val="de-DE"/>
        </w:rPr>
        <w:t xml:space="preserve"> Durchschnitts False-Positive-Rate von 0.06</w:t>
      </w:r>
      <w:r w:rsidRPr="14ED86CC">
        <w:rPr>
          <w:rStyle w:val="FootnoteReference"/>
          <w:lang w:val="de-DE"/>
        </w:rPr>
        <w:footnoteReference w:id="2"/>
      </w:r>
      <w:r w:rsidR="275FFA4B" w:rsidRPr="0A027EB4">
        <w:rPr>
          <w:lang w:val="de-DE"/>
        </w:rPr>
        <w:t xml:space="preserve"> sehr gute Resultate erzielt.</w:t>
      </w:r>
      <w:r w:rsidR="567A589C" w:rsidRPr="0A027EB4">
        <w:rPr>
          <w:lang w:val="de-DE"/>
        </w:rPr>
        <w:t xml:space="preserve"> Auf den restlichen Datensätzen (nongauss, river-runoff, TestClim, TestWeath) erzielten wir mit der PCMCI Methode eine</w:t>
      </w:r>
      <w:r w:rsidR="76C340C3" w:rsidRPr="0A027EB4">
        <w:rPr>
          <w:lang w:val="de-DE"/>
        </w:rPr>
        <w:t xml:space="preserve"> Durchschnitts-AUC von 0.87.</w:t>
      </w:r>
    </w:p>
    <w:p w14:paraId="31915EFA" w14:textId="76F9462E" w:rsidR="0D880CA6" w:rsidRDefault="0D880CA6" w:rsidP="69A7D3E9">
      <w:pPr>
        <w:rPr>
          <w:lang w:val="de-DE"/>
        </w:rPr>
      </w:pPr>
      <w:r w:rsidRPr="250096AF">
        <w:rPr>
          <w:lang w:val="de-DE"/>
        </w:rPr>
        <w:t xml:space="preserve">Bei den ersten Durchläufen der </w:t>
      </w:r>
      <w:r w:rsidRPr="5B117E6A">
        <w:rPr>
          <w:lang w:val="de-DE"/>
        </w:rPr>
        <w:t xml:space="preserve">PCMCI Methode, aber auch der TCDF </w:t>
      </w:r>
      <w:r w:rsidRPr="736E1852">
        <w:rPr>
          <w:lang w:val="de-DE"/>
        </w:rPr>
        <w:t>Methode</w:t>
      </w:r>
      <w:r w:rsidRPr="305E20DC">
        <w:rPr>
          <w:lang w:val="de-DE"/>
        </w:rPr>
        <w:t xml:space="preserve">, </w:t>
      </w:r>
      <w:r w:rsidRPr="250B2029">
        <w:rPr>
          <w:lang w:val="de-DE"/>
        </w:rPr>
        <w:t xml:space="preserve">mussten wir feststellen, dass </w:t>
      </w:r>
      <w:r w:rsidR="34F4AEC1" w:rsidRPr="769C1D45">
        <w:rPr>
          <w:lang w:val="de-DE"/>
        </w:rPr>
        <w:t xml:space="preserve">die </w:t>
      </w:r>
      <w:r w:rsidR="34F4AEC1" w:rsidRPr="77AEF274">
        <w:rPr>
          <w:lang w:val="de-DE"/>
        </w:rPr>
        <w:t xml:space="preserve">Durchführung eines </w:t>
      </w:r>
      <w:r w:rsidR="34F4AEC1" w:rsidRPr="78899A83">
        <w:rPr>
          <w:lang w:val="de-DE"/>
        </w:rPr>
        <w:t xml:space="preserve">Experiments </w:t>
      </w:r>
      <w:r w:rsidR="682D5973" w:rsidRPr="78899A83">
        <w:rPr>
          <w:lang w:val="de-DE"/>
        </w:rPr>
        <w:t>vor</w:t>
      </w:r>
      <w:r w:rsidR="682D5973" w:rsidRPr="3B5C6273">
        <w:rPr>
          <w:lang w:val="de-DE"/>
        </w:rPr>
        <w:t xml:space="preserve"> allem</w:t>
      </w:r>
      <w:r w:rsidRPr="250B2029">
        <w:rPr>
          <w:lang w:val="de-DE"/>
        </w:rPr>
        <w:t xml:space="preserve"> </w:t>
      </w:r>
      <w:r w:rsidR="10286B70" w:rsidRPr="3B3F3A70">
        <w:rPr>
          <w:lang w:val="de-DE"/>
        </w:rPr>
        <w:t>bei den</w:t>
      </w:r>
      <w:r w:rsidRPr="5BC3568B">
        <w:rPr>
          <w:lang w:val="de-DE"/>
        </w:rPr>
        <w:t xml:space="preserve"> hö</w:t>
      </w:r>
      <w:r w:rsidR="0001F61A" w:rsidRPr="5BC3568B">
        <w:rPr>
          <w:lang w:val="de-DE"/>
        </w:rPr>
        <w:t>herdimensionalen</w:t>
      </w:r>
      <w:r w:rsidR="0001F61A" w:rsidRPr="3B5C6273">
        <w:rPr>
          <w:lang w:val="de-DE"/>
        </w:rPr>
        <w:t xml:space="preserve"> Datensätze </w:t>
      </w:r>
      <w:r w:rsidR="77479CD4" w:rsidRPr="0870ED87">
        <w:rPr>
          <w:lang w:val="de-DE"/>
        </w:rPr>
        <w:t xml:space="preserve">unter Umständen </w:t>
      </w:r>
      <w:r w:rsidR="77479CD4" w:rsidRPr="0D915552">
        <w:rPr>
          <w:lang w:val="de-DE"/>
        </w:rPr>
        <w:t xml:space="preserve">länger als </w:t>
      </w:r>
      <w:r w:rsidR="77479CD4" w:rsidRPr="0F6BCECC">
        <w:rPr>
          <w:lang w:val="de-DE"/>
        </w:rPr>
        <w:t xml:space="preserve">12h </w:t>
      </w:r>
      <w:r w:rsidR="77479CD4" w:rsidRPr="2F5934F6">
        <w:rPr>
          <w:lang w:val="de-DE"/>
        </w:rPr>
        <w:t xml:space="preserve">in der SDIL-Umgebung </w:t>
      </w:r>
      <w:r w:rsidR="77479CD4" w:rsidRPr="69C241B8">
        <w:rPr>
          <w:lang w:val="de-DE"/>
        </w:rPr>
        <w:t>benötig</w:t>
      </w:r>
      <w:r w:rsidR="1AACF8CF" w:rsidRPr="69C241B8">
        <w:rPr>
          <w:lang w:val="de-DE"/>
        </w:rPr>
        <w:t xml:space="preserve">t. </w:t>
      </w:r>
      <w:r w:rsidR="1AACF8CF" w:rsidRPr="4CB812CA">
        <w:rPr>
          <w:lang w:val="de-DE"/>
        </w:rPr>
        <w:t xml:space="preserve">Unter Berücksichtigung der </w:t>
      </w:r>
      <w:r w:rsidR="1AACF8CF" w:rsidRPr="7ACFB44A">
        <w:rPr>
          <w:lang w:val="de-DE"/>
        </w:rPr>
        <w:t xml:space="preserve">Vorgabe, dass </w:t>
      </w:r>
      <w:r w:rsidR="7B588826" w:rsidRPr="03181B92">
        <w:rPr>
          <w:lang w:val="de-DE"/>
        </w:rPr>
        <w:t xml:space="preserve">die gewählten Methoden für </w:t>
      </w:r>
      <w:r w:rsidR="1AACF8CF" w:rsidRPr="7ACFB44A">
        <w:rPr>
          <w:lang w:val="de-DE"/>
        </w:rPr>
        <w:t xml:space="preserve">alle Datensätze </w:t>
      </w:r>
      <w:r w:rsidR="1AACF8CF" w:rsidRPr="4ECFCADC">
        <w:rPr>
          <w:lang w:val="de-DE"/>
        </w:rPr>
        <w:t xml:space="preserve">innerhalb einer Gruppe </w:t>
      </w:r>
      <w:r w:rsidR="04415A07" w:rsidRPr="55F511F6">
        <w:rPr>
          <w:lang w:val="de-DE"/>
        </w:rPr>
        <w:t>durchlaufen</w:t>
      </w:r>
      <w:r w:rsidR="1AACF8CF" w:rsidRPr="131F4B9B">
        <w:rPr>
          <w:lang w:val="de-DE"/>
        </w:rPr>
        <w:t xml:space="preserve"> </w:t>
      </w:r>
      <w:r w:rsidR="04415A07" w:rsidRPr="1D26D3F1">
        <w:rPr>
          <w:lang w:val="de-DE"/>
        </w:rPr>
        <w:t>müssen</w:t>
      </w:r>
      <w:r w:rsidR="6B77B14D" w:rsidRPr="55F511F6">
        <w:rPr>
          <w:lang w:val="de-DE"/>
        </w:rPr>
        <w:t xml:space="preserve">, </w:t>
      </w:r>
      <w:r w:rsidR="6B77B14D" w:rsidRPr="12217138">
        <w:rPr>
          <w:lang w:val="de-DE"/>
        </w:rPr>
        <w:t xml:space="preserve">haben wir uns im Folgenden dazu entschieden die zwei </w:t>
      </w:r>
      <w:r w:rsidR="6B77B14D" w:rsidRPr="39B82E76">
        <w:rPr>
          <w:lang w:val="de-DE"/>
        </w:rPr>
        <w:t xml:space="preserve">Gruppen </w:t>
      </w:r>
      <w:r w:rsidR="6B77B14D" w:rsidRPr="49BF330B">
        <w:rPr>
          <w:b/>
          <w:lang w:val="de-DE"/>
        </w:rPr>
        <w:t>nongauss VAR</w:t>
      </w:r>
      <w:r w:rsidR="6B77B14D" w:rsidRPr="39B82E76">
        <w:rPr>
          <w:lang w:val="de-DE"/>
        </w:rPr>
        <w:t xml:space="preserve"> und </w:t>
      </w:r>
      <w:r w:rsidR="6B77B14D" w:rsidRPr="49BF330B">
        <w:rPr>
          <w:b/>
          <w:bCs/>
          <w:lang w:val="de-DE"/>
        </w:rPr>
        <w:t xml:space="preserve">TestWeath </w:t>
      </w:r>
      <w:r w:rsidR="6B77B14D" w:rsidRPr="01114554">
        <w:rPr>
          <w:lang w:val="de-DE"/>
        </w:rPr>
        <w:t>zu verwenden.</w:t>
      </w:r>
    </w:p>
    <w:p w14:paraId="17CC4448" w14:textId="2569D824" w:rsidR="00692028" w:rsidRPr="00692028" w:rsidRDefault="1D92E88D" w:rsidP="00692028">
      <w:pPr>
        <w:rPr>
          <w:lang w:val="de-DE"/>
        </w:rPr>
      </w:pPr>
      <w:r w:rsidRPr="3100B948">
        <w:rPr>
          <w:lang w:val="de-DE"/>
        </w:rPr>
        <w:t>Die PCM</w:t>
      </w:r>
      <w:r w:rsidR="00131A64">
        <w:rPr>
          <w:lang w:val="de-DE"/>
        </w:rPr>
        <w:t>C</w:t>
      </w:r>
      <w:r w:rsidRPr="3100B948">
        <w:rPr>
          <w:lang w:val="de-DE"/>
        </w:rPr>
        <w:t>I Methode erzielte für die TestWeath Gruppe eine Durschnitss-</w:t>
      </w:r>
      <w:r w:rsidRPr="7B3F0C39">
        <w:rPr>
          <w:lang w:val="de-DE"/>
        </w:rPr>
        <w:t xml:space="preserve">AUC von </w:t>
      </w:r>
      <w:r w:rsidRPr="0F73E5AB">
        <w:rPr>
          <w:lang w:val="de-DE"/>
        </w:rPr>
        <w:t>0.83, bei einer Durchschnitts-</w:t>
      </w:r>
      <w:r w:rsidRPr="17CD963B">
        <w:rPr>
          <w:lang w:val="de-DE"/>
        </w:rPr>
        <w:t>False-Positive-Rate von</w:t>
      </w:r>
      <w:r w:rsidR="4B5DA997" w:rsidRPr="17CD963B">
        <w:rPr>
          <w:lang w:val="de-DE"/>
        </w:rPr>
        <w:t xml:space="preserve"> </w:t>
      </w:r>
      <w:r w:rsidR="4B5DA997" w:rsidRPr="12E3185D">
        <w:rPr>
          <w:lang w:val="de-DE"/>
        </w:rPr>
        <w:t>0.1</w:t>
      </w:r>
      <w:r w:rsidR="773FE9B6" w:rsidRPr="3FEB3EDC">
        <w:rPr>
          <w:lang w:val="de-DE"/>
        </w:rPr>
        <w:t xml:space="preserve"> </w:t>
      </w:r>
      <w:r w:rsidR="773FE9B6" w:rsidRPr="26A6AF04">
        <w:rPr>
          <w:lang w:val="de-DE"/>
        </w:rPr>
        <w:t>(</w:t>
      </w:r>
      <w:r w:rsidR="00591C54">
        <w:rPr>
          <w:lang w:val="de-DE"/>
        </w:rPr>
        <w:t>Figure</w:t>
      </w:r>
      <w:r w:rsidR="773FE9B6" w:rsidRPr="26A6AF04">
        <w:rPr>
          <w:lang w:val="de-DE"/>
        </w:rPr>
        <w:t xml:space="preserve"> 1)</w:t>
      </w:r>
      <w:r w:rsidR="4B5DA997" w:rsidRPr="26A6AF04">
        <w:rPr>
          <w:lang w:val="de-DE"/>
        </w:rPr>
        <w:t>.</w:t>
      </w:r>
      <w:r w:rsidR="07058813" w:rsidRPr="61DF6CF7">
        <w:rPr>
          <w:lang w:val="de-DE"/>
        </w:rPr>
        <w:t xml:space="preserve"> </w:t>
      </w:r>
      <w:r w:rsidR="07058813" w:rsidRPr="3297E711">
        <w:rPr>
          <w:lang w:val="de-DE"/>
        </w:rPr>
        <w:t>Die</w:t>
      </w:r>
      <w:r w:rsidR="07058813" w:rsidRPr="3C4FDCF0">
        <w:rPr>
          <w:lang w:val="de-DE"/>
        </w:rPr>
        <w:t xml:space="preserve"> Kausalbeziehungen in der </w:t>
      </w:r>
      <w:r w:rsidR="07058813" w:rsidRPr="652BEE6A">
        <w:rPr>
          <w:lang w:val="de-DE"/>
        </w:rPr>
        <w:t xml:space="preserve">nongauss Gruppe </w:t>
      </w:r>
      <w:r w:rsidR="07058813" w:rsidRPr="38DFE42B">
        <w:rPr>
          <w:lang w:val="de-DE"/>
        </w:rPr>
        <w:lastRenderedPageBreak/>
        <w:t xml:space="preserve">wurden von der PCMCI Methode </w:t>
      </w:r>
      <w:r w:rsidR="0C816133" w:rsidRPr="1D9A2687">
        <w:rPr>
          <w:lang w:val="de-DE"/>
        </w:rPr>
        <w:t xml:space="preserve">nochmal </w:t>
      </w:r>
      <w:r w:rsidR="0C816133" w:rsidRPr="63F5E3C8">
        <w:rPr>
          <w:lang w:val="de-DE"/>
        </w:rPr>
        <w:t>etwas besser erkannt (Durschn.</w:t>
      </w:r>
      <w:r w:rsidR="0C816133" w:rsidRPr="6CA88944">
        <w:rPr>
          <w:lang w:val="de-DE"/>
        </w:rPr>
        <w:t>AUC: 0.91, Durchschn</w:t>
      </w:r>
      <w:r w:rsidR="0C816133" w:rsidRPr="0CB218C3">
        <w:rPr>
          <w:lang w:val="de-DE"/>
        </w:rPr>
        <w:t xml:space="preserve">.FPR: </w:t>
      </w:r>
      <w:r w:rsidR="0C816133" w:rsidRPr="02AC1996">
        <w:rPr>
          <w:lang w:val="de-DE"/>
        </w:rPr>
        <w:t>0.06</w:t>
      </w:r>
      <w:r w:rsidR="0C816133" w:rsidRPr="4FB41448">
        <w:rPr>
          <w:lang w:val="de-DE"/>
        </w:rPr>
        <w:t>).</w:t>
      </w:r>
      <w:r w:rsidR="006627D5">
        <w:rPr>
          <w:lang w:val="de-DE"/>
        </w:rPr>
        <w:t xml:space="preserve"> </w:t>
      </w:r>
    </w:p>
    <w:p w14:paraId="6BAE5A6F" w14:textId="68A961DA" w:rsidR="006C3D2C" w:rsidRDefault="006C3D2C" w:rsidP="7F46D3A3">
      <w:pPr>
        <w:rPr>
          <w:lang w:val="de-DE"/>
        </w:rPr>
      </w:pPr>
    </w:p>
    <w:p w14:paraId="067EEFAF" w14:textId="77777777" w:rsidR="00591C54" w:rsidRDefault="72A90220" w:rsidP="00DB6D8C">
      <w:pPr>
        <w:keepNext/>
        <w:jc w:val="center"/>
      </w:pPr>
      <w:r>
        <w:rPr>
          <w:noProof/>
        </w:rPr>
        <w:drawing>
          <wp:inline distT="0" distB="0" distL="0" distR="0" wp14:anchorId="7579C328" wp14:editId="51E5ECD0">
            <wp:extent cx="5724524" cy="2286000"/>
            <wp:effectExtent l="0" t="0" r="0" b="0"/>
            <wp:docPr id="1229684157" name="Picture 1229684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2286" w14:textId="28DDF5C1" w:rsidR="00A95ACB" w:rsidRPr="00591C54" w:rsidRDefault="00591C54" w:rsidP="00591C54">
      <w:pPr>
        <w:pStyle w:val="Caption"/>
        <w:jc w:val="center"/>
        <w:rPr>
          <w:lang w:val="de-DE"/>
        </w:rPr>
      </w:pPr>
      <w:r w:rsidRPr="00591C54">
        <w:rPr>
          <w:lang w:val="de-DE"/>
        </w:rPr>
        <w:t xml:space="preserve">Figure </w:t>
      </w:r>
      <w:r>
        <w:fldChar w:fldCharType="begin"/>
      </w:r>
      <w:r w:rsidRPr="00591C54">
        <w:rPr>
          <w:lang w:val="de-DE"/>
        </w:rPr>
        <w:instrText xml:space="preserve"> SEQ Figure \* ARABIC </w:instrText>
      </w:r>
      <w:r>
        <w:fldChar w:fldCharType="separate"/>
      </w:r>
      <w:r w:rsidRPr="00591C54">
        <w:rPr>
          <w:noProof/>
          <w:lang w:val="de-DE"/>
        </w:rPr>
        <w:t>1</w:t>
      </w:r>
      <w:r>
        <w:fldChar w:fldCharType="end"/>
      </w:r>
      <w:r w:rsidRPr="00591C54">
        <w:rPr>
          <w:lang w:val="de-DE"/>
        </w:rPr>
        <w:t>: PCMCI Performance</w:t>
      </w:r>
    </w:p>
    <w:p w14:paraId="4F67CC93" w14:textId="319B0827" w:rsidR="00D475CC" w:rsidRPr="00303724" w:rsidRDefault="00D475CC" w:rsidP="00D475CC">
      <w:pPr>
        <w:rPr>
          <w:lang w:val="de-DE"/>
        </w:rPr>
      </w:pPr>
      <w:r>
        <w:rPr>
          <w:lang w:val="de-DE"/>
        </w:rPr>
        <w:t>Die nongauss Gruppe bietet sich zudem augrund der höheren Anzahl an Experimenten (12) an, um die Standardabdweichungen der Scores für die PCMCI Methode zu betrachten</w:t>
      </w:r>
      <w:r w:rsidR="00B35A10">
        <w:rPr>
          <w:lang w:val="de-DE"/>
        </w:rPr>
        <w:t xml:space="preserve"> (Stdev.</w:t>
      </w:r>
      <w:r w:rsidR="005D3DED">
        <w:rPr>
          <w:lang w:val="de-DE"/>
        </w:rPr>
        <w:t xml:space="preserve">FPR = </w:t>
      </w:r>
      <w:r w:rsidR="006616ED">
        <w:rPr>
          <w:lang w:val="de-DE"/>
        </w:rPr>
        <w:t>0.01</w:t>
      </w:r>
      <w:r w:rsidR="00D74489">
        <w:rPr>
          <w:lang w:val="de-DE"/>
        </w:rPr>
        <w:t xml:space="preserve">; Stdev.TPR = </w:t>
      </w:r>
      <w:r w:rsidR="00002353">
        <w:rPr>
          <w:lang w:val="de-DE"/>
        </w:rPr>
        <w:t>0.14</w:t>
      </w:r>
      <w:r w:rsidR="00B35A10">
        <w:rPr>
          <w:lang w:val="de-DE"/>
        </w:rPr>
        <w:t>)</w:t>
      </w:r>
      <w:r>
        <w:rPr>
          <w:lang w:val="de-DE"/>
        </w:rPr>
        <w:t xml:space="preserve">. </w:t>
      </w:r>
    </w:p>
    <w:p w14:paraId="1139914B" w14:textId="77777777" w:rsidR="00D475CC" w:rsidRDefault="00D475CC" w:rsidP="0030196E">
      <w:pPr>
        <w:keepNext/>
        <w:jc w:val="center"/>
      </w:pPr>
      <w:r>
        <w:rPr>
          <w:noProof/>
        </w:rPr>
        <w:drawing>
          <wp:inline distT="0" distB="0" distL="0" distR="0" wp14:anchorId="59FA4ADF" wp14:editId="721743D8">
            <wp:extent cx="2157413" cy="16580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07" cy="166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11AC" w14:textId="4243D5C2" w:rsidR="00D475CC" w:rsidRDefault="0030196E" w:rsidP="0030196E">
      <w:pPr>
        <w:pStyle w:val="Caption"/>
        <w:jc w:val="center"/>
        <w:rPr>
          <w:lang w:val="de-DE"/>
        </w:rPr>
      </w:pPr>
      <w:r w:rsidRPr="0030196E">
        <w:rPr>
          <w:lang w:val="de-DE"/>
        </w:rPr>
        <w:t xml:space="preserve">Figure </w:t>
      </w:r>
      <w:r>
        <w:fldChar w:fldCharType="begin"/>
      </w:r>
      <w:r w:rsidRPr="0030196E">
        <w:rPr>
          <w:lang w:val="de-DE"/>
        </w:rPr>
        <w:instrText xml:space="preserve"> SEQ Figure \* ARABIC </w:instrText>
      </w:r>
      <w:r>
        <w:fldChar w:fldCharType="separate"/>
      </w:r>
      <w:r w:rsidR="00787525">
        <w:rPr>
          <w:noProof/>
          <w:lang w:val="de-DE"/>
        </w:rPr>
        <w:t>2</w:t>
      </w:r>
      <w:r>
        <w:fldChar w:fldCharType="end"/>
      </w:r>
      <w:r w:rsidRPr="0030196E">
        <w:rPr>
          <w:lang w:val="de-DE"/>
        </w:rPr>
        <w:t>:Boxplots der FP</w:t>
      </w:r>
      <w:r w:rsidR="009E7E75">
        <w:rPr>
          <w:lang w:val="de-DE"/>
        </w:rPr>
        <w:t>R</w:t>
      </w:r>
      <w:r w:rsidRPr="0030196E">
        <w:rPr>
          <w:lang w:val="de-DE"/>
        </w:rPr>
        <w:t xml:space="preserve"> und TPR Scores der PCMCI Methode für die nongauss Gruppe</w:t>
      </w:r>
    </w:p>
    <w:p w14:paraId="23CCC4AB" w14:textId="28F17C44" w:rsidR="00313226" w:rsidRPr="00313226" w:rsidRDefault="233DEEA0" w:rsidP="00313226">
      <w:pPr>
        <w:rPr>
          <w:lang w:val="de-DE"/>
        </w:rPr>
      </w:pPr>
      <w:r w:rsidRPr="09D44E68">
        <w:rPr>
          <w:lang w:val="de-DE"/>
        </w:rPr>
        <w:t xml:space="preserve">Die Transferentropie wurde als weiteres Werkzeug für die Analyse von Kausalbeziehungen in den </w:t>
      </w:r>
      <w:r w:rsidR="2E444B03" w:rsidRPr="002210B6">
        <w:rPr>
          <w:b/>
          <w:lang w:val="de-DE"/>
        </w:rPr>
        <w:t>n</w:t>
      </w:r>
      <w:r w:rsidR="55F7B371" w:rsidRPr="002210B6">
        <w:rPr>
          <w:b/>
          <w:lang w:val="de-DE"/>
        </w:rPr>
        <w:t>ongauss</w:t>
      </w:r>
      <w:r w:rsidR="55F7B371" w:rsidRPr="4F37F3B5">
        <w:rPr>
          <w:lang w:val="de-DE"/>
        </w:rPr>
        <w:t xml:space="preserve"> und </w:t>
      </w:r>
      <w:r w:rsidR="55F7B371" w:rsidRPr="002210B6">
        <w:rPr>
          <w:b/>
          <w:lang w:val="de-DE"/>
        </w:rPr>
        <w:t>TestWeath</w:t>
      </w:r>
      <w:r w:rsidR="55F7B371" w:rsidRPr="4F37F3B5">
        <w:rPr>
          <w:lang w:val="de-DE"/>
        </w:rPr>
        <w:t xml:space="preserve"> </w:t>
      </w:r>
      <w:r w:rsidR="55F7B371" w:rsidRPr="491DC009">
        <w:rPr>
          <w:lang w:val="de-DE"/>
        </w:rPr>
        <w:t>Gruppen</w:t>
      </w:r>
      <w:r w:rsidR="2E444B03" w:rsidRPr="4F37F3B5">
        <w:rPr>
          <w:lang w:val="de-DE"/>
        </w:rPr>
        <w:t xml:space="preserve"> verwendet.</w:t>
      </w:r>
      <w:r w:rsidRPr="09D44E68">
        <w:rPr>
          <w:lang w:val="de-DE"/>
        </w:rPr>
        <w:t xml:space="preserve"> Dafür wurde das R Paket “RTransferEntropy” angewandt. </w:t>
      </w:r>
      <w:r w:rsidRPr="6683C43E">
        <w:rPr>
          <w:lang w:val="de-DE"/>
        </w:rPr>
        <w:t xml:space="preserve">Die Transferentropie erzielte mit </w:t>
      </w:r>
      <w:r w:rsidRPr="26FA866D">
        <w:rPr>
          <w:lang w:val="de-DE"/>
        </w:rPr>
        <w:t>einer</w:t>
      </w:r>
      <w:r w:rsidRPr="09D44E68">
        <w:rPr>
          <w:lang w:val="de-DE"/>
        </w:rPr>
        <w:t xml:space="preserve"> Durchschnitts-AUC von 0.63 und </w:t>
      </w:r>
      <w:r w:rsidRPr="26FA866D">
        <w:rPr>
          <w:lang w:val="de-DE"/>
        </w:rPr>
        <w:t>einer</w:t>
      </w:r>
      <w:r w:rsidRPr="09D44E68">
        <w:rPr>
          <w:lang w:val="de-DE"/>
        </w:rPr>
        <w:t xml:space="preserve"> Durchschnitts-AUC-PR von 0.36</w:t>
      </w:r>
      <w:r w:rsidRPr="26FA866D">
        <w:rPr>
          <w:lang w:val="de-DE"/>
        </w:rPr>
        <w:t xml:space="preserve"> </w:t>
      </w:r>
      <w:r w:rsidRPr="27E67856">
        <w:rPr>
          <w:lang w:val="de-DE"/>
        </w:rPr>
        <w:t xml:space="preserve">schlechtere Werte als unsere </w:t>
      </w:r>
      <w:r w:rsidRPr="1C0368DF">
        <w:rPr>
          <w:lang w:val="de-DE"/>
        </w:rPr>
        <w:t>ursprünglich betrachtete PCMCI Me</w:t>
      </w:r>
      <w:r w:rsidR="109508F3" w:rsidRPr="1C0368DF">
        <w:rPr>
          <w:lang w:val="de-DE"/>
        </w:rPr>
        <w:t xml:space="preserve">thode. </w:t>
      </w:r>
      <w:r w:rsidR="109508F3" w:rsidRPr="162C08A5">
        <w:rPr>
          <w:lang w:val="de-DE"/>
        </w:rPr>
        <w:t xml:space="preserve">Darüberhinaus </w:t>
      </w:r>
      <w:r w:rsidR="109508F3" w:rsidRPr="53E91E24">
        <w:rPr>
          <w:lang w:val="de-DE"/>
        </w:rPr>
        <w:t>bietet das “</w:t>
      </w:r>
      <w:r w:rsidR="109508F3" w:rsidRPr="145AB5DD">
        <w:rPr>
          <w:lang w:val="de-DE"/>
        </w:rPr>
        <w:t xml:space="preserve">RTransferEntropy” Paket </w:t>
      </w:r>
      <w:r w:rsidR="038EAC13" w:rsidRPr="3AA64DB3">
        <w:rPr>
          <w:lang w:val="de-DE"/>
        </w:rPr>
        <w:t xml:space="preserve">keine bereits </w:t>
      </w:r>
      <w:r w:rsidR="038EAC13" w:rsidRPr="645B362B">
        <w:rPr>
          <w:lang w:val="de-DE"/>
        </w:rPr>
        <w:t>implementierte Funktion</w:t>
      </w:r>
      <w:r w:rsidR="199B82C6" w:rsidRPr="75F7A805">
        <w:rPr>
          <w:lang w:val="de-DE"/>
        </w:rPr>
        <w:t>,</w:t>
      </w:r>
      <w:r w:rsidR="038EAC13" w:rsidRPr="645B362B">
        <w:rPr>
          <w:lang w:val="de-DE"/>
        </w:rPr>
        <w:t xml:space="preserve"> um </w:t>
      </w:r>
      <w:r w:rsidR="038EAC13" w:rsidRPr="008B999D">
        <w:rPr>
          <w:lang w:val="de-DE"/>
        </w:rPr>
        <w:t xml:space="preserve">sich </w:t>
      </w:r>
      <w:r w:rsidR="038EAC13" w:rsidRPr="645B362B">
        <w:rPr>
          <w:lang w:val="de-DE"/>
        </w:rPr>
        <w:t xml:space="preserve">die </w:t>
      </w:r>
      <w:r w:rsidR="038EAC13" w:rsidRPr="008B999D">
        <w:rPr>
          <w:lang w:val="de-DE"/>
        </w:rPr>
        <w:t>paarweisen</w:t>
      </w:r>
      <w:r w:rsidR="038EAC13" w:rsidRPr="53BB9196">
        <w:rPr>
          <w:lang w:val="de-DE"/>
        </w:rPr>
        <w:t xml:space="preserve"> P-Werte </w:t>
      </w:r>
      <w:r w:rsidR="038EAC13" w:rsidRPr="2E7DB612">
        <w:rPr>
          <w:lang w:val="de-DE"/>
        </w:rPr>
        <w:t xml:space="preserve">ausgeben zu lassen. </w:t>
      </w:r>
    </w:p>
    <w:p w14:paraId="3F637928" w14:textId="77777777" w:rsidR="00DB6D8C" w:rsidRDefault="00DB6D8C" w:rsidP="00DB6D8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07AD65" wp14:editId="2C8BC103">
            <wp:extent cx="4481513" cy="212904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7423" cy="213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8E00" w14:textId="64A2FBE0" w:rsidR="09D44E68" w:rsidRDefault="00DB6D8C" w:rsidP="00696D1A">
      <w:pPr>
        <w:pStyle w:val="Caption"/>
        <w:jc w:val="center"/>
        <w:rPr>
          <w:lang w:val="de-DE"/>
        </w:rPr>
      </w:pPr>
      <w:r w:rsidRPr="00977A0C">
        <w:rPr>
          <w:lang w:val="de-DE"/>
        </w:rPr>
        <w:t xml:space="preserve">Figure </w:t>
      </w:r>
      <w:r>
        <w:fldChar w:fldCharType="begin"/>
      </w:r>
      <w:r w:rsidRPr="00977A0C">
        <w:rPr>
          <w:lang w:val="de-DE"/>
        </w:rPr>
        <w:instrText xml:space="preserve"> SEQ Figure \* ARABIC </w:instrText>
      </w:r>
      <w:r>
        <w:fldChar w:fldCharType="separate"/>
      </w:r>
      <w:r w:rsidR="00D462E6">
        <w:rPr>
          <w:noProof/>
          <w:lang w:val="de-DE"/>
        </w:rPr>
        <w:t>3</w:t>
      </w:r>
      <w:r>
        <w:fldChar w:fldCharType="end"/>
      </w:r>
      <w:r w:rsidRPr="00977A0C">
        <w:rPr>
          <w:lang w:val="de-DE"/>
        </w:rPr>
        <w:t>: Transferentropie Performance</w:t>
      </w:r>
    </w:p>
    <w:p w14:paraId="44F14339" w14:textId="0FE57FD1" w:rsidR="00B10355" w:rsidRPr="00B10355" w:rsidRDefault="4DC64BF1" w:rsidP="00B10355">
      <w:pPr>
        <w:rPr>
          <w:lang w:val="de-DE"/>
        </w:rPr>
      </w:pPr>
      <w:r w:rsidRPr="45CCEFB9">
        <w:rPr>
          <w:lang w:val="de-DE"/>
        </w:rPr>
        <w:t>Die TCDF Methode hingegen hat mit einer Durchschnitts-AUC von 0.51 keine guten Resultate erzielen können</w:t>
      </w:r>
      <w:r w:rsidR="00977A0C">
        <w:rPr>
          <w:lang w:val="de-DE"/>
        </w:rPr>
        <w:t xml:space="preserve"> (Figure </w:t>
      </w:r>
      <w:r w:rsidR="0099062C">
        <w:rPr>
          <w:lang w:val="de-DE"/>
        </w:rPr>
        <w:t>4</w:t>
      </w:r>
      <w:r w:rsidR="00977A0C">
        <w:rPr>
          <w:lang w:val="de-DE"/>
        </w:rPr>
        <w:t>)</w:t>
      </w:r>
      <w:r w:rsidRPr="45CCEFB9">
        <w:rPr>
          <w:lang w:val="de-DE"/>
        </w:rPr>
        <w:t>.</w:t>
      </w:r>
    </w:p>
    <w:p w14:paraId="3C8F137A" w14:textId="77777777" w:rsidR="004A0FBE" w:rsidRDefault="004A0FBE" w:rsidP="004A0FBE">
      <w:pPr>
        <w:keepNext/>
      </w:pPr>
      <w:r>
        <w:rPr>
          <w:noProof/>
        </w:rPr>
        <w:drawing>
          <wp:inline distT="0" distB="0" distL="0" distR="0" wp14:anchorId="43516B97" wp14:editId="3AACB92D">
            <wp:extent cx="5731510" cy="2044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288A" w14:textId="34F8747D" w:rsidR="00476D58" w:rsidRDefault="004A0FBE" w:rsidP="00476D58">
      <w:pPr>
        <w:pStyle w:val="Caption"/>
        <w:jc w:val="center"/>
      </w:pPr>
      <w:r>
        <w:t xml:space="preserve">Figure </w:t>
      </w:r>
      <w:fldSimple w:instr=" SEQ Figure \* ARABIC ">
        <w:r w:rsidR="00D462E6">
          <w:rPr>
            <w:noProof/>
          </w:rPr>
          <w:t>4</w:t>
        </w:r>
      </w:fldSimple>
      <w:r>
        <w:t>: TCDF Performance</w:t>
      </w:r>
    </w:p>
    <w:p w14:paraId="7EB2B72F" w14:textId="77777777" w:rsidR="00787525" w:rsidRDefault="00216942" w:rsidP="00787525">
      <w:pPr>
        <w:keepNext/>
        <w:jc w:val="center"/>
      </w:pPr>
      <w:r>
        <w:rPr>
          <w:noProof/>
        </w:rPr>
        <w:drawing>
          <wp:inline distT="0" distB="0" distL="0" distR="0" wp14:anchorId="57B4A6A0" wp14:editId="6BE54D1B">
            <wp:extent cx="2066925" cy="185991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5345" cy="18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2CFA" w14:textId="2BB5B922" w:rsidR="00216942" w:rsidRPr="00131A64" w:rsidRDefault="00787525" w:rsidP="00787525">
      <w:pPr>
        <w:pStyle w:val="Caption"/>
        <w:jc w:val="center"/>
        <w:rPr>
          <w:lang w:val="de-DE"/>
        </w:rPr>
      </w:pPr>
      <w:r w:rsidRPr="00131A64">
        <w:rPr>
          <w:lang w:val="de-DE"/>
        </w:rPr>
        <w:t xml:space="preserve">Figure </w:t>
      </w:r>
      <w:r>
        <w:fldChar w:fldCharType="begin"/>
      </w:r>
      <w:r w:rsidRPr="00131A64">
        <w:rPr>
          <w:lang w:val="de-DE"/>
        </w:rPr>
        <w:instrText xml:space="preserve"> SEQ Figure \* ARABIC </w:instrText>
      </w:r>
      <w:r>
        <w:fldChar w:fldCharType="separate"/>
      </w:r>
      <w:r w:rsidRPr="00131A64">
        <w:rPr>
          <w:noProof/>
          <w:lang w:val="de-DE"/>
        </w:rPr>
        <w:t>5</w:t>
      </w:r>
      <w:r>
        <w:fldChar w:fldCharType="end"/>
      </w:r>
      <w:r w:rsidRPr="00131A64">
        <w:rPr>
          <w:lang w:val="de-DE"/>
        </w:rPr>
        <w:t>: Boxplots der FPR und TPR Scores der TCDF Methode für die nongauss Gruppe</w:t>
      </w:r>
    </w:p>
    <w:p w14:paraId="54A712CB" w14:textId="4425CBF2" w:rsidR="45CCEFB9" w:rsidRDefault="00B5516F" w:rsidP="45CCEFB9">
      <w:pPr>
        <w:rPr>
          <w:lang w:val="de-DE"/>
        </w:rPr>
      </w:pPr>
      <w:r>
        <w:rPr>
          <w:lang w:val="de-DE"/>
        </w:rPr>
        <w:t>Daher haben wir im nächsten Schritt</w:t>
      </w:r>
      <w:r w:rsidR="00A87511">
        <w:rPr>
          <w:lang w:val="de-DE"/>
        </w:rPr>
        <w:t xml:space="preserve"> versucht, die Performance von TCDF über die Wa</w:t>
      </w:r>
      <w:r w:rsidR="00D62EBC">
        <w:rPr>
          <w:lang w:val="de-DE"/>
        </w:rPr>
        <w:t xml:space="preserve">hl der Hyperparameter zu verbessern. </w:t>
      </w:r>
      <w:r w:rsidR="0097441D">
        <w:rPr>
          <w:lang w:val="de-DE"/>
        </w:rPr>
        <w:t xml:space="preserve">Um möglichst robuste Hyperparameter zu erhalten, haben wir </w:t>
      </w:r>
      <w:r w:rsidR="00D40ED4">
        <w:rPr>
          <w:lang w:val="de-DE"/>
        </w:rPr>
        <w:t xml:space="preserve">zur Evaluation hier wieder </w:t>
      </w:r>
      <w:r w:rsidR="00C72646">
        <w:rPr>
          <w:lang w:val="de-DE"/>
        </w:rPr>
        <w:t xml:space="preserve">den Mix aus </w:t>
      </w:r>
      <w:r w:rsidR="00E74A43">
        <w:rPr>
          <w:lang w:val="de-DE"/>
        </w:rPr>
        <w:t xml:space="preserve">einzelnen Experimenten aus mehreren unterschiedlichen Benchmark-Gruppen angewendet und versucht, diesen auf jeweils 5 verschiedenen Hyperparameter-Settings auszuführen. </w:t>
      </w:r>
      <w:r w:rsidR="009A37ED">
        <w:rPr>
          <w:lang w:val="de-DE"/>
        </w:rPr>
        <w:t xml:space="preserve">Da jedoch mit veränderten Hyperparametern die TCDF-Methode zum Teil noch einmal deutlich länger </w:t>
      </w:r>
      <w:r w:rsidR="00B30F0D">
        <w:rPr>
          <w:lang w:val="de-DE"/>
        </w:rPr>
        <w:t xml:space="preserve">benötigt, konnten wir nicht alle Settings auf allen </w:t>
      </w:r>
      <w:r w:rsidR="00B30F0D">
        <w:rPr>
          <w:lang w:val="de-DE"/>
        </w:rPr>
        <w:lastRenderedPageBreak/>
        <w:t>Datensätzen evaluieren</w:t>
      </w:r>
      <w:r w:rsidR="002A05C3">
        <w:rPr>
          <w:lang w:val="de-DE"/>
        </w:rPr>
        <w:t xml:space="preserve"> (aus diesem Grund haben wir für die Hyperparametersuche auch generell nur „kleine“ Datensätze verwendet).</w:t>
      </w:r>
    </w:p>
    <w:p w14:paraId="69C97B39" w14:textId="69E34AAF" w:rsidR="00CE5378" w:rsidRDefault="00CE5378" w:rsidP="45CCEFB9">
      <w:pPr>
        <w:rPr>
          <w:lang w:val="de-DE"/>
        </w:rPr>
      </w:pPr>
      <w:r>
        <w:rPr>
          <w:lang w:val="de-DE"/>
        </w:rPr>
        <w:t>Aufgrund von</w:t>
      </w:r>
      <w:r w:rsidR="00FE3733">
        <w:rPr>
          <w:lang w:val="de-DE"/>
        </w:rPr>
        <w:t xml:space="preserve"> fehlender Rechenzeit konnten wir die obigen vollständigen Benchmark-Datensätze leider nicht mit den optimierten Hyperparametern </w:t>
      </w:r>
      <w:r w:rsidR="00240327">
        <w:rPr>
          <w:lang w:val="de-DE"/>
        </w:rPr>
        <w:t>wiederholen (die noch einmal deutlich rechenintensiver sind als das Standard-Setting).</w:t>
      </w:r>
    </w:p>
    <w:p w14:paraId="0693C8D3" w14:textId="31BB8704" w:rsidR="3A940BC9" w:rsidRPr="001851B8" w:rsidRDefault="3A940BC9" w:rsidP="3A940BC9">
      <w:pPr>
        <w:rPr>
          <w:lang w:val="de-DE"/>
        </w:rPr>
      </w:pPr>
    </w:p>
    <w:p w14:paraId="624BE7B0" w14:textId="598EDC1B" w:rsidR="2CFE4193" w:rsidRDefault="2CFE4193" w:rsidP="2CFE4193">
      <w:pPr>
        <w:rPr>
          <w:lang w:val="de-DE"/>
        </w:rPr>
      </w:pPr>
    </w:p>
    <w:sectPr w:rsidR="2CFE4193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B6E1F" w14:textId="77777777" w:rsidR="0013231C" w:rsidRDefault="0013231C">
      <w:pPr>
        <w:spacing w:after="0" w:line="240" w:lineRule="auto"/>
      </w:pPr>
      <w:r>
        <w:separator/>
      </w:r>
    </w:p>
  </w:endnote>
  <w:endnote w:type="continuationSeparator" w:id="0">
    <w:p w14:paraId="5E584FCC" w14:textId="77777777" w:rsidR="0013231C" w:rsidRDefault="0013231C">
      <w:pPr>
        <w:spacing w:after="0" w:line="240" w:lineRule="auto"/>
      </w:pPr>
      <w:r>
        <w:continuationSeparator/>
      </w:r>
    </w:p>
  </w:endnote>
  <w:endnote w:type="continuationNotice" w:id="1">
    <w:p w14:paraId="27396BA2" w14:textId="77777777" w:rsidR="0013231C" w:rsidRDefault="001323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CFE4193" w14:paraId="35C9D68C" w14:textId="77777777" w:rsidTr="2CFE4193">
      <w:tc>
        <w:tcPr>
          <w:tcW w:w="3009" w:type="dxa"/>
        </w:tcPr>
        <w:p w14:paraId="7BFFE6A5" w14:textId="2A51A2C9" w:rsidR="2CFE4193" w:rsidRDefault="2CFE4193" w:rsidP="2CFE4193">
          <w:pPr>
            <w:pStyle w:val="Header"/>
            <w:ind w:left="-115"/>
          </w:pPr>
        </w:p>
      </w:tc>
      <w:tc>
        <w:tcPr>
          <w:tcW w:w="3009" w:type="dxa"/>
        </w:tcPr>
        <w:p w14:paraId="0ECC9889" w14:textId="1AC7E6EA" w:rsidR="2CFE4193" w:rsidRDefault="2CFE4193" w:rsidP="2CFE4193">
          <w:pPr>
            <w:pStyle w:val="Header"/>
            <w:jc w:val="center"/>
          </w:pPr>
        </w:p>
      </w:tc>
      <w:tc>
        <w:tcPr>
          <w:tcW w:w="3009" w:type="dxa"/>
        </w:tcPr>
        <w:p w14:paraId="52A53AFA" w14:textId="695A8E1D" w:rsidR="2CFE4193" w:rsidRDefault="2CFE4193" w:rsidP="2CFE4193">
          <w:pPr>
            <w:pStyle w:val="Header"/>
            <w:ind w:right="-115"/>
            <w:jc w:val="right"/>
          </w:pPr>
        </w:p>
      </w:tc>
    </w:tr>
  </w:tbl>
  <w:p w14:paraId="2BF9A442" w14:textId="1FD2ACAD" w:rsidR="2CFE4193" w:rsidRDefault="2CFE4193" w:rsidP="2CFE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87A2B" w14:textId="77777777" w:rsidR="0013231C" w:rsidRDefault="0013231C">
      <w:pPr>
        <w:spacing w:after="0" w:line="240" w:lineRule="auto"/>
      </w:pPr>
      <w:r>
        <w:separator/>
      </w:r>
    </w:p>
  </w:footnote>
  <w:footnote w:type="continuationSeparator" w:id="0">
    <w:p w14:paraId="6BBAFF98" w14:textId="77777777" w:rsidR="0013231C" w:rsidRDefault="0013231C">
      <w:pPr>
        <w:spacing w:after="0" w:line="240" w:lineRule="auto"/>
      </w:pPr>
      <w:r>
        <w:continuationSeparator/>
      </w:r>
    </w:p>
  </w:footnote>
  <w:footnote w:type="continuationNotice" w:id="1">
    <w:p w14:paraId="2B1A8A3A" w14:textId="77777777" w:rsidR="0013231C" w:rsidRDefault="0013231C">
      <w:pPr>
        <w:spacing w:after="0" w:line="240" w:lineRule="auto"/>
      </w:pPr>
    </w:p>
  </w:footnote>
  <w:footnote w:id="2">
    <w:p w14:paraId="738A1C16" w14:textId="69F6FECF" w:rsidR="2CFE4193" w:rsidRPr="00591C54" w:rsidRDefault="2CFE4193" w:rsidP="2CFE4193">
      <w:pPr>
        <w:pStyle w:val="FootnoteText"/>
        <w:rPr>
          <w:lang w:val="de-DE"/>
        </w:rPr>
      </w:pPr>
      <w:r w:rsidRPr="2CFE4193">
        <w:rPr>
          <w:rStyle w:val="FootnoteReference"/>
        </w:rPr>
        <w:footnoteRef/>
      </w:r>
      <w:r w:rsidRPr="00591C54">
        <w:rPr>
          <w:lang w:val="de-DE"/>
        </w:rPr>
        <w:t xml:space="preserve"> Die zugrundeliegenden Ergebnisse der einzelnen Durchläufe können unter folgendem Link aufgerufen werden: </w:t>
      </w:r>
      <w:hyperlink r:id="rId1" w:history="1">
        <w:r w:rsidR="00720997" w:rsidRPr="00720997">
          <w:rPr>
            <w:rStyle w:val="Hyperlink"/>
            <w:lang w:val="de-DE"/>
          </w:rPr>
          <w:t>https://git.scc.kit.edu/ubelj/psda-group-4-assignment-4/-/tree/master/causeme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CFE4193" w14:paraId="23AAE361" w14:textId="77777777" w:rsidTr="2CFE4193">
      <w:tc>
        <w:tcPr>
          <w:tcW w:w="3009" w:type="dxa"/>
        </w:tcPr>
        <w:p w14:paraId="0AAE4C1A" w14:textId="6635049E" w:rsidR="2CFE4193" w:rsidRDefault="2CFE4193" w:rsidP="2CFE4193">
          <w:pPr>
            <w:pStyle w:val="Header"/>
            <w:ind w:left="-115"/>
          </w:pPr>
        </w:p>
      </w:tc>
      <w:tc>
        <w:tcPr>
          <w:tcW w:w="3009" w:type="dxa"/>
        </w:tcPr>
        <w:p w14:paraId="3D31B4CA" w14:textId="660641CA" w:rsidR="2CFE4193" w:rsidRDefault="2CFE4193" w:rsidP="2CFE4193">
          <w:pPr>
            <w:pStyle w:val="Header"/>
            <w:jc w:val="center"/>
          </w:pPr>
        </w:p>
      </w:tc>
      <w:tc>
        <w:tcPr>
          <w:tcW w:w="3009" w:type="dxa"/>
        </w:tcPr>
        <w:p w14:paraId="4C274C0D" w14:textId="174036F0" w:rsidR="2CFE4193" w:rsidRDefault="2CFE4193" w:rsidP="2CFE4193">
          <w:pPr>
            <w:pStyle w:val="Header"/>
            <w:ind w:right="-115"/>
            <w:jc w:val="right"/>
          </w:pPr>
        </w:p>
      </w:tc>
    </w:tr>
  </w:tbl>
  <w:p w14:paraId="0440E40A" w14:textId="6F2E09F9" w:rsidR="2CFE4193" w:rsidRDefault="2CFE4193" w:rsidP="2CFE4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F2E53"/>
    <w:multiLevelType w:val="hybridMultilevel"/>
    <w:tmpl w:val="AB9E3EEC"/>
    <w:lvl w:ilvl="0" w:tplc="53A08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301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F21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D86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BC5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85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42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8D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62E40"/>
    <w:multiLevelType w:val="hybridMultilevel"/>
    <w:tmpl w:val="FFFFFFFF"/>
    <w:lvl w:ilvl="0" w:tplc="0142A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EE8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543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244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F4F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0E1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D2D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166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4E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A4BB3F"/>
    <w:rsid w:val="00002353"/>
    <w:rsid w:val="0001061F"/>
    <w:rsid w:val="00014F2A"/>
    <w:rsid w:val="0001F61A"/>
    <w:rsid w:val="000358FD"/>
    <w:rsid w:val="0004157E"/>
    <w:rsid w:val="00055352"/>
    <w:rsid w:val="00062145"/>
    <w:rsid w:val="000868E8"/>
    <w:rsid w:val="000916BD"/>
    <w:rsid w:val="000A79CC"/>
    <w:rsid w:val="000B13F6"/>
    <w:rsid w:val="000B3AA3"/>
    <w:rsid w:val="000E02FB"/>
    <w:rsid w:val="000E4356"/>
    <w:rsid w:val="000E5D31"/>
    <w:rsid w:val="000F356D"/>
    <w:rsid w:val="000F5D4F"/>
    <w:rsid w:val="000F7333"/>
    <w:rsid w:val="0011233A"/>
    <w:rsid w:val="00131A64"/>
    <w:rsid w:val="0013231C"/>
    <w:rsid w:val="001337B8"/>
    <w:rsid w:val="00135019"/>
    <w:rsid w:val="001558BE"/>
    <w:rsid w:val="00176230"/>
    <w:rsid w:val="0017651F"/>
    <w:rsid w:val="001851B8"/>
    <w:rsid w:val="00190186"/>
    <w:rsid w:val="00196B10"/>
    <w:rsid w:val="001A11DF"/>
    <w:rsid w:val="001F4DB3"/>
    <w:rsid w:val="00205C1D"/>
    <w:rsid w:val="00205CB0"/>
    <w:rsid w:val="00216942"/>
    <w:rsid w:val="002210B6"/>
    <w:rsid w:val="00234C80"/>
    <w:rsid w:val="00236D80"/>
    <w:rsid w:val="00240327"/>
    <w:rsid w:val="00283C9E"/>
    <w:rsid w:val="00285303"/>
    <w:rsid w:val="002943A7"/>
    <w:rsid w:val="002A05C3"/>
    <w:rsid w:val="002B06E5"/>
    <w:rsid w:val="002B21AD"/>
    <w:rsid w:val="002B4934"/>
    <w:rsid w:val="002D1060"/>
    <w:rsid w:val="002D1A58"/>
    <w:rsid w:val="002D67AE"/>
    <w:rsid w:val="002D7651"/>
    <w:rsid w:val="002E2342"/>
    <w:rsid w:val="002F01A6"/>
    <w:rsid w:val="002F1C93"/>
    <w:rsid w:val="002F6221"/>
    <w:rsid w:val="002F7066"/>
    <w:rsid w:val="0030196E"/>
    <w:rsid w:val="00303724"/>
    <w:rsid w:val="00313226"/>
    <w:rsid w:val="00322B14"/>
    <w:rsid w:val="003310FF"/>
    <w:rsid w:val="00343A3C"/>
    <w:rsid w:val="00343CC9"/>
    <w:rsid w:val="0035293C"/>
    <w:rsid w:val="00356C15"/>
    <w:rsid w:val="00361C04"/>
    <w:rsid w:val="003671CB"/>
    <w:rsid w:val="00371EB2"/>
    <w:rsid w:val="003835A1"/>
    <w:rsid w:val="00395FA2"/>
    <w:rsid w:val="003A724D"/>
    <w:rsid w:val="003D2E41"/>
    <w:rsid w:val="003E41E4"/>
    <w:rsid w:val="003E7C78"/>
    <w:rsid w:val="00403C77"/>
    <w:rsid w:val="00410338"/>
    <w:rsid w:val="00422B33"/>
    <w:rsid w:val="0043345F"/>
    <w:rsid w:val="004479CC"/>
    <w:rsid w:val="0046255C"/>
    <w:rsid w:val="0047243D"/>
    <w:rsid w:val="00472E6C"/>
    <w:rsid w:val="00476D58"/>
    <w:rsid w:val="004A0FBE"/>
    <w:rsid w:val="004A3D2E"/>
    <w:rsid w:val="004B022A"/>
    <w:rsid w:val="004C2F42"/>
    <w:rsid w:val="004C7CF8"/>
    <w:rsid w:val="004E3B49"/>
    <w:rsid w:val="004E635B"/>
    <w:rsid w:val="004E65A7"/>
    <w:rsid w:val="004F7C48"/>
    <w:rsid w:val="00503D1D"/>
    <w:rsid w:val="00504D58"/>
    <w:rsid w:val="00505667"/>
    <w:rsid w:val="0053278B"/>
    <w:rsid w:val="00532A7C"/>
    <w:rsid w:val="00536E9B"/>
    <w:rsid w:val="00540C9C"/>
    <w:rsid w:val="00540F0B"/>
    <w:rsid w:val="00553B1F"/>
    <w:rsid w:val="00553FEE"/>
    <w:rsid w:val="0057594E"/>
    <w:rsid w:val="00577AAA"/>
    <w:rsid w:val="00591C54"/>
    <w:rsid w:val="00595D2C"/>
    <w:rsid w:val="005A219C"/>
    <w:rsid w:val="005B30AE"/>
    <w:rsid w:val="005C19B8"/>
    <w:rsid w:val="005C467F"/>
    <w:rsid w:val="005D3DED"/>
    <w:rsid w:val="005D6B5F"/>
    <w:rsid w:val="005E0E87"/>
    <w:rsid w:val="005E5111"/>
    <w:rsid w:val="005E6C2A"/>
    <w:rsid w:val="005F46CD"/>
    <w:rsid w:val="00615DAB"/>
    <w:rsid w:val="0061752D"/>
    <w:rsid w:val="006318D1"/>
    <w:rsid w:val="006461A1"/>
    <w:rsid w:val="006463B5"/>
    <w:rsid w:val="00647ABD"/>
    <w:rsid w:val="006616ED"/>
    <w:rsid w:val="006627D5"/>
    <w:rsid w:val="00673B4C"/>
    <w:rsid w:val="00674083"/>
    <w:rsid w:val="00674EE8"/>
    <w:rsid w:val="00677201"/>
    <w:rsid w:val="00677864"/>
    <w:rsid w:val="00691343"/>
    <w:rsid w:val="00692028"/>
    <w:rsid w:val="00696D1A"/>
    <w:rsid w:val="006A172B"/>
    <w:rsid w:val="006A6BEC"/>
    <w:rsid w:val="006B1C7B"/>
    <w:rsid w:val="006B5590"/>
    <w:rsid w:val="006B7D46"/>
    <w:rsid w:val="006C3D2C"/>
    <w:rsid w:val="006D1703"/>
    <w:rsid w:val="006E2A25"/>
    <w:rsid w:val="006F20C1"/>
    <w:rsid w:val="007063DA"/>
    <w:rsid w:val="007074C5"/>
    <w:rsid w:val="00712EBD"/>
    <w:rsid w:val="00713FE2"/>
    <w:rsid w:val="0071439B"/>
    <w:rsid w:val="00720997"/>
    <w:rsid w:val="00754EF2"/>
    <w:rsid w:val="00755E6A"/>
    <w:rsid w:val="00762B40"/>
    <w:rsid w:val="00771B11"/>
    <w:rsid w:val="00787525"/>
    <w:rsid w:val="00787B69"/>
    <w:rsid w:val="007932DE"/>
    <w:rsid w:val="007A6EDF"/>
    <w:rsid w:val="007B52AC"/>
    <w:rsid w:val="007B61D3"/>
    <w:rsid w:val="007C5EFF"/>
    <w:rsid w:val="007D6FEF"/>
    <w:rsid w:val="008064B9"/>
    <w:rsid w:val="008064E0"/>
    <w:rsid w:val="0082139E"/>
    <w:rsid w:val="00830AEC"/>
    <w:rsid w:val="00830B9B"/>
    <w:rsid w:val="00832955"/>
    <w:rsid w:val="008428FE"/>
    <w:rsid w:val="00850FAB"/>
    <w:rsid w:val="008638FD"/>
    <w:rsid w:val="00871868"/>
    <w:rsid w:val="00895139"/>
    <w:rsid w:val="008A3FD1"/>
    <w:rsid w:val="008A4FF8"/>
    <w:rsid w:val="008B332A"/>
    <w:rsid w:val="008B999D"/>
    <w:rsid w:val="008D4E0D"/>
    <w:rsid w:val="008D57DB"/>
    <w:rsid w:val="008E64C5"/>
    <w:rsid w:val="008F724D"/>
    <w:rsid w:val="009032A6"/>
    <w:rsid w:val="00903C4A"/>
    <w:rsid w:val="009066C5"/>
    <w:rsid w:val="009128ED"/>
    <w:rsid w:val="00916E0C"/>
    <w:rsid w:val="00923279"/>
    <w:rsid w:val="00936C59"/>
    <w:rsid w:val="00937C25"/>
    <w:rsid w:val="0094334E"/>
    <w:rsid w:val="00947260"/>
    <w:rsid w:val="0097441D"/>
    <w:rsid w:val="00975DD4"/>
    <w:rsid w:val="00977A0C"/>
    <w:rsid w:val="0099062C"/>
    <w:rsid w:val="009971CC"/>
    <w:rsid w:val="00997443"/>
    <w:rsid w:val="009A37ED"/>
    <w:rsid w:val="009A7FF9"/>
    <w:rsid w:val="009B0D99"/>
    <w:rsid w:val="009B1F01"/>
    <w:rsid w:val="009C1DE4"/>
    <w:rsid w:val="009E7E75"/>
    <w:rsid w:val="009F0A44"/>
    <w:rsid w:val="009F2DD2"/>
    <w:rsid w:val="00A02DCB"/>
    <w:rsid w:val="00A15D05"/>
    <w:rsid w:val="00A22557"/>
    <w:rsid w:val="00A225EB"/>
    <w:rsid w:val="00A2558F"/>
    <w:rsid w:val="00A67745"/>
    <w:rsid w:val="00A7202A"/>
    <w:rsid w:val="00A721D2"/>
    <w:rsid w:val="00A75BB1"/>
    <w:rsid w:val="00A87511"/>
    <w:rsid w:val="00A93F27"/>
    <w:rsid w:val="00A95ACB"/>
    <w:rsid w:val="00AB0E4B"/>
    <w:rsid w:val="00AC0831"/>
    <w:rsid w:val="00AC0BEC"/>
    <w:rsid w:val="00AC366A"/>
    <w:rsid w:val="00AD611B"/>
    <w:rsid w:val="00AE1254"/>
    <w:rsid w:val="00AE41BF"/>
    <w:rsid w:val="00AF23F3"/>
    <w:rsid w:val="00B01EF6"/>
    <w:rsid w:val="00B03AF8"/>
    <w:rsid w:val="00B04733"/>
    <w:rsid w:val="00B10355"/>
    <w:rsid w:val="00B10C03"/>
    <w:rsid w:val="00B13E5A"/>
    <w:rsid w:val="00B171B1"/>
    <w:rsid w:val="00B250FE"/>
    <w:rsid w:val="00B30F0D"/>
    <w:rsid w:val="00B35A10"/>
    <w:rsid w:val="00B35E6A"/>
    <w:rsid w:val="00B427DC"/>
    <w:rsid w:val="00B516A6"/>
    <w:rsid w:val="00B52C8D"/>
    <w:rsid w:val="00B5516F"/>
    <w:rsid w:val="00B57049"/>
    <w:rsid w:val="00B61A0E"/>
    <w:rsid w:val="00B672A9"/>
    <w:rsid w:val="00B76322"/>
    <w:rsid w:val="00B771EB"/>
    <w:rsid w:val="00BB1440"/>
    <w:rsid w:val="00BF303A"/>
    <w:rsid w:val="00C27256"/>
    <w:rsid w:val="00C27481"/>
    <w:rsid w:val="00C31D62"/>
    <w:rsid w:val="00C54173"/>
    <w:rsid w:val="00C72646"/>
    <w:rsid w:val="00C7449D"/>
    <w:rsid w:val="00C92C89"/>
    <w:rsid w:val="00CA6352"/>
    <w:rsid w:val="00CB4253"/>
    <w:rsid w:val="00CD613B"/>
    <w:rsid w:val="00CE5378"/>
    <w:rsid w:val="00D33865"/>
    <w:rsid w:val="00D33AA8"/>
    <w:rsid w:val="00D341C9"/>
    <w:rsid w:val="00D34341"/>
    <w:rsid w:val="00D40ED4"/>
    <w:rsid w:val="00D414BA"/>
    <w:rsid w:val="00D462E6"/>
    <w:rsid w:val="00D475CC"/>
    <w:rsid w:val="00D51BF9"/>
    <w:rsid w:val="00D53756"/>
    <w:rsid w:val="00D5620F"/>
    <w:rsid w:val="00D60AD2"/>
    <w:rsid w:val="00D62EBC"/>
    <w:rsid w:val="00D74489"/>
    <w:rsid w:val="00D75F36"/>
    <w:rsid w:val="00D77E25"/>
    <w:rsid w:val="00D8AF62"/>
    <w:rsid w:val="00D966BA"/>
    <w:rsid w:val="00D97877"/>
    <w:rsid w:val="00DA647F"/>
    <w:rsid w:val="00DB22C7"/>
    <w:rsid w:val="00DB6C7D"/>
    <w:rsid w:val="00DB6D8C"/>
    <w:rsid w:val="00DC2378"/>
    <w:rsid w:val="00DD65D7"/>
    <w:rsid w:val="00DE1F24"/>
    <w:rsid w:val="00DF2407"/>
    <w:rsid w:val="00E04CF8"/>
    <w:rsid w:val="00E14685"/>
    <w:rsid w:val="00E26BCD"/>
    <w:rsid w:val="00E30F0E"/>
    <w:rsid w:val="00E3308D"/>
    <w:rsid w:val="00E330EA"/>
    <w:rsid w:val="00E34BA7"/>
    <w:rsid w:val="00E425B5"/>
    <w:rsid w:val="00E44750"/>
    <w:rsid w:val="00E72BBA"/>
    <w:rsid w:val="00E733C8"/>
    <w:rsid w:val="00E74A43"/>
    <w:rsid w:val="00E80491"/>
    <w:rsid w:val="00E87F19"/>
    <w:rsid w:val="00E90820"/>
    <w:rsid w:val="00EA68D5"/>
    <w:rsid w:val="00EB5BF8"/>
    <w:rsid w:val="00ED1958"/>
    <w:rsid w:val="00EE7410"/>
    <w:rsid w:val="00EF2890"/>
    <w:rsid w:val="00F14EA7"/>
    <w:rsid w:val="00F3281E"/>
    <w:rsid w:val="00F333BF"/>
    <w:rsid w:val="00F37231"/>
    <w:rsid w:val="00F46D8D"/>
    <w:rsid w:val="00F47B8D"/>
    <w:rsid w:val="00F54CE6"/>
    <w:rsid w:val="00F55B30"/>
    <w:rsid w:val="00F62379"/>
    <w:rsid w:val="00F63737"/>
    <w:rsid w:val="00F672FE"/>
    <w:rsid w:val="00F717E8"/>
    <w:rsid w:val="00F7286F"/>
    <w:rsid w:val="00F72C21"/>
    <w:rsid w:val="00F76F16"/>
    <w:rsid w:val="00F77870"/>
    <w:rsid w:val="00F83DD1"/>
    <w:rsid w:val="00F87BBD"/>
    <w:rsid w:val="00FA365C"/>
    <w:rsid w:val="00FA68C7"/>
    <w:rsid w:val="00FB0B8A"/>
    <w:rsid w:val="00FD1ACA"/>
    <w:rsid w:val="00FE3733"/>
    <w:rsid w:val="00FE54F7"/>
    <w:rsid w:val="00FF4DB3"/>
    <w:rsid w:val="01114554"/>
    <w:rsid w:val="029CC171"/>
    <w:rsid w:val="02AC1996"/>
    <w:rsid w:val="03181B92"/>
    <w:rsid w:val="035CB857"/>
    <w:rsid w:val="038EAC13"/>
    <w:rsid w:val="04415A07"/>
    <w:rsid w:val="05D28FAC"/>
    <w:rsid w:val="05E27DD3"/>
    <w:rsid w:val="06CC2C79"/>
    <w:rsid w:val="07058813"/>
    <w:rsid w:val="07362FEF"/>
    <w:rsid w:val="0763EE2D"/>
    <w:rsid w:val="081CD763"/>
    <w:rsid w:val="0870ED87"/>
    <w:rsid w:val="08814410"/>
    <w:rsid w:val="08BDE2C4"/>
    <w:rsid w:val="08DB400F"/>
    <w:rsid w:val="09666216"/>
    <w:rsid w:val="0987266B"/>
    <w:rsid w:val="09B9D15C"/>
    <w:rsid w:val="09C6EEC4"/>
    <w:rsid w:val="09D44E68"/>
    <w:rsid w:val="0A027EB4"/>
    <w:rsid w:val="0A224D1A"/>
    <w:rsid w:val="0A2F5876"/>
    <w:rsid w:val="0BFE0774"/>
    <w:rsid w:val="0C816133"/>
    <w:rsid w:val="0CA1A13F"/>
    <w:rsid w:val="0CB218C3"/>
    <w:rsid w:val="0D07F8B4"/>
    <w:rsid w:val="0D880CA6"/>
    <w:rsid w:val="0D915552"/>
    <w:rsid w:val="0F6BCECC"/>
    <w:rsid w:val="0F73E5AB"/>
    <w:rsid w:val="0FC94B50"/>
    <w:rsid w:val="0FCC4D52"/>
    <w:rsid w:val="0FD4E1A0"/>
    <w:rsid w:val="10286B70"/>
    <w:rsid w:val="108D1BC5"/>
    <w:rsid w:val="109508F3"/>
    <w:rsid w:val="10DDFFAE"/>
    <w:rsid w:val="1102B464"/>
    <w:rsid w:val="11355A45"/>
    <w:rsid w:val="11482869"/>
    <w:rsid w:val="11A04E6E"/>
    <w:rsid w:val="12217138"/>
    <w:rsid w:val="124D787B"/>
    <w:rsid w:val="12706876"/>
    <w:rsid w:val="12E3185D"/>
    <w:rsid w:val="131F4B9B"/>
    <w:rsid w:val="13552BEB"/>
    <w:rsid w:val="145AB5DD"/>
    <w:rsid w:val="149E3ECC"/>
    <w:rsid w:val="14ED86CC"/>
    <w:rsid w:val="15144BB7"/>
    <w:rsid w:val="1586BAC1"/>
    <w:rsid w:val="15BDC542"/>
    <w:rsid w:val="162C08A5"/>
    <w:rsid w:val="171B24A0"/>
    <w:rsid w:val="174C8497"/>
    <w:rsid w:val="17B05484"/>
    <w:rsid w:val="17CD0D78"/>
    <w:rsid w:val="17CD963B"/>
    <w:rsid w:val="17DF6C0B"/>
    <w:rsid w:val="180D4585"/>
    <w:rsid w:val="18867075"/>
    <w:rsid w:val="1978D90C"/>
    <w:rsid w:val="199B82C6"/>
    <w:rsid w:val="19CAA8B4"/>
    <w:rsid w:val="1AACF8CF"/>
    <w:rsid w:val="1B02D5D3"/>
    <w:rsid w:val="1BC14844"/>
    <w:rsid w:val="1C0368DF"/>
    <w:rsid w:val="1C428320"/>
    <w:rsid w:val="1CEC266C"/>
    <w:rsid w:val="1D26D3F1"/>
    <w:rsid w:val="1D92E88D"/>
    <w:rsid w:val="1D9A2687"/>
    <w:rsid w:val="1DFAF568"/>
    <w:rsid w:val="1E95EE00"/>
    <w:rsid w:val="1F4D57E7"/>
    <w:rsid w:val="1FF55BDD"/>
    <w:rsid w:val="2046BF6D"/>
    <w:rsid w:val="21FB6910"/>
    <w:rsid w:val="2203D0F7"/>
    <w:rsid w:val="22E7538E"/>
    <w:rsid w:val="22F7C536"/>
    <w:rsid w:val="2334B7A5"/>
    <w:rsid w:val="233DEEA0"/>
    <w:rsid w:val="24D21EE3"/>
    <w:rsid w:val="250096AF"/>
    <w:rsid w:val="250B2029"/>
    <w:rsid w:val="25517268"/>
    <w:rsid w:val="25C20593"/>
    <w:rsid w:val="264C2242"/>
    <w:rsid w:val="26A6AF04"/>
    <w:rsid w:val="26FA866D"/>
    <w:rsid w:val="275FFA4B"/>
    <w:rsid w:val="2770A3BB"/>
    <w:rsid w:val="27E67856"/>
    <w:rsid w:val="27E9B26F"/>
    <w:rsid w:val="287CE0BD"/>
    <w:rsid w:val="28E5ABDB"/>
    <w:rsid w:val="28EC691F"/>
    <w:rsid w:val="28FAC5C2"/>
    <w:rsid w:val="2949459F"/>
    <w:rsid w:val="2A6A13C2"/>
    <w:rsid w:val="2B4F90F9"/>
    <w:rsid w:val="2BE874D8"/>
    <w:rsid w:val="2CFE4193"/>
    <w:rsid w:val="2E444B03"/>
    <w:rsid w:val="2E60E5C0"/>
    <w:rsid w:val="2E7DB612"/>
    <w:rsid w:val="2ED43BF2"/>
    <w:rsid w:val="2F466239"/>
    <w:rsid w:val="2F5934F6"/>
    <w:rsid w:val="2F789DB1"/>
    <w:rsid w:val="305E20DC"/>
    <w:rsid w:val="30CD6F62"/>
    <w:rsid w:val="3100B948"/>
    <w:rsid w:val="31FEFE87"/>
    <w:rsid w:val="3297E711"/>
    <w:rsid w:val="32B3EEB2"/>
    <w:rsid w:val="3388DF32"/>
    <w:rsid w:val="339DB796"/>
    <w:rsid w:val="33BEE3E7"/>
    <w:rsid w:val="3452E389"/>
    <w:rsid w:val="34F4AEC1"/>
    <w:rsid w:val="35861AC8"/>
    <w:rsid w:val="3597EA1F"/>
    <w:rsid w:val="3618A688"/>
    <w:rsid w:val="364D373E"/>
    <w:rsid w:val="36A4BB3F"/>
    <w:rsid w:val="37435EE8"/>
    <w:rsid w:val="37FD667E"/>
    <w:rsid w:val="389DB707"/>
    <w:rsid w:val="38DFE42B"/>
    <w:rsid w:val="395CCEE7"/>
    <w:rsid w:val="39868B1B"/>
    <w:rsid w:val="399F7BF1"/>
    <w:rsid w:val="39ADE704"/>
    <w:rsid w:val="39B82E76"/>
    <w:rsid w:val="3A5E80ED"/>
    <w:rsid w:val="3A940BC9"/>
    <w:rsid w:val="3AA64DB3"/>
    <w:rsid w:val="3AE90DD7"/>
    <w:rsid w:val="3B3F3A70"/>
    <w:rsid w:val="3B5C6273"/>
    <w:rsid w:val="3B74D515"/>
    <w:rsid w:val="3BA880A3"/>
    <w:rsid w:val="3C1729E8"/>
    <w:rsid w:val="3C4FDCF0"/>
    <w:rsid w:val="3C50FD2A"/>
    <w:rsid w:val="3C6D2E47"/>
    <w:rsid w:val="3CF0627A"/>
    <w:rsid w:val="3D1A90DB"/>
    <w:rsid w:val="3DBB4B38"/>
    <w:rsid w:val="3DCC9863"/>
    <w:rsid w:val="3E3349C6"/>
    <w:rsid w:val="3EB3011E"/>
    <w:rsid w:val="3F4ABC4A"/>
    <w:rsid w:val="3F9A50F5"/>
    <w:rsid w:val="3FEB3EDC"/>
    <w:rsid w:val="4092E586"/>
    <w:rsid w:val="4133EFCC"/>
    <w:rsid w:val="41DAA117"/>
    <w:rsid w:val="4333EDC6"/>
    <w:rsid w:val="43460FED"/>
    <w:rsid w:val="43490D77"/>
    <w:rsid w:val="436CF214"/>
    <w:rsid w:val="4420819E"/>
    <w:rsid w:val="442F65CB"/>
    <w:rsid w:val="44E1AF59"/>
    <w:rsid w:val="45684E18"/>
    <w:rsid w:val="458ED271"/>
    <w:rsid w:val="45CCEFB9"/>
    <w:rsid w:val="464C8BBD"/>
    <w:rsid w:val="46C98A21"/>
    <w:rsid w:val="477997F3"/>
    <w:rsid w:val="488F8913"/>
    <w:rsid w:val="491DC009"/>
    <w:rsid w:val="4923C2B1"/>
    <w:rsid w:val="495B10BD"/>
    <w:rsid w:val="49BF330B"/>
    <w:rsid w:val="49DD1C74"/>
    <w:rsid w:val="4A320A91"/>
    <w:rsid w:val="4A56019D"/>
    <w:rsid w:val="4B5DA997"/>
    <w:rsid w:val="4BDE0714"/>
    <w:rsid w:val="4CA8FFEE"/>
    <w:rsid w:val="4CB53FCF"/>
    <w:rsid w:val="4CB812CA"/>
    <w:rsid w:val="4CD5BAEE"/>
    <w:rsid w:val="4D28E83E"/>
    <w:rsid w:val="4DC64BF1"/>
    <w:rsid w:val="4DE8126B"/>
    <w:rsid w:val="4E213E29"/>
    <w:rsid w:val="4ECFCADC"/>
    <w:rsid w:val="4F37F3B5"/>
    <w:rsid w:val="4FB41448"/>
    <w:rsid w:val="503D39A5"/>
    <w:rsid w:val="50AC27A4"/>
    <w:rsid w:val="51015BE6"/>
    <w:rsid w:val="513D046A"/>
    <w:rsid w:val="51440816"/>
    <w:rsid w:val="51685BEE"/>
    <w:rsid w:val="5292CFC7"/>
    <w:rsid w:val="52CFDE92"/>
    <w:rsid w:val="53BB9196"/>
    <w:rsid w:val="53E91E24"/>
    <w:rsid w:val="545DB6C2"/>
    <w:rsid w:val="55F511F6"/>
    <w:rsid w:val="55F7B371"/>
    <w:rsid w:val="567A589C"/>
    <w:rsid w:val="567DE2DF"/>
    <w:rsid w:val="5745D830"/>
    <w:rsid w:val="58B02871"/>
    <w:rsid w:val="59190503"/>
    <w:rsid w:val="59EC77F5"/>
    <w:rsid w:val="5A523026"/>
    <w:rsid w:val="5B05F376"/>
    <w:rsid w:val="5B117E6A"/>
    <w:rsid w:val="5B6F059C"/>
    <w:rsid w:val="5B9F2F56"/>
    <w:rsid w:val="5BC3568B"/>
    <w:rsid w:val="5BD31BFA"/>
    <w:rsid w:val="5C41BBA1"/>
    <w:rsid w:val="5CD10264"/>
    <w:rsid w:val="5D0361AF"/>
    <w:rsid w:val="5D4DCD11"/>
    <w:rsid w:val="5DC48332"/>
    <w:rsid w:val="5E3EBC94"/>
    <w:rsid w:val="5E73A144"/>
    <w:rsid w:val="5F2808C6"/>
    <w:rsid w:val="5FCAA809"/>
    <w:rsid w:val="5FFA5B9A"/>
    <w:rsid w:val="605D74A6"/>
    <w:rsid w:val="611BCBC9"/>
    <w:rsid w:val="6196F633"/>
    <w:rsid w:val="61DF6CF7"/>
    <w:rsid w:val="61F16AE4"/>
    <w:rsid w:val="62AB753B"/>
    <w:rsid w:val="637464BD"/>
    <w:rsid w:val="63C1E46B"/>
    <w:rsid w:val="63CD3E44"/>
    <w:rsid w:val="63EE3B2C"/>
    <w:rsid w:val="63F5E3C8"/>
    <w:rsid w:val="645B362B"/>
    <w:rsid w:val="6462EE11"/>
    <w:rsid w:val="64A71ABB"/>
    <w:rsid w:val="651E070F"/>
    <w:rsid w:val="652BEE6A"/>
    <w:rsid w:val="658AFF24"/>
    <w:rsid w:val="65BF670E"/>
    <w:rsid w:val="6679A26D"/>
    <w:rsid w:val="6683C43E"/>
    <w:rsid w:val="66AB9AD3"/>
    <w:rsid w:val="66FBD1F2"/>
    <w:rsid w:val="67E3C75F"/>
    <w:rsid w:val="682D5973"/>
    <w:rsid w:val="683D2CC3"/>
    <w:rsid w:val="6865D943"/>
    <w:rsid w:val="691B7FFD"/>
    <w:rsid w:val="692899AF"/>
    <w:rsid w:val="69846762"/>
    <w:rsid w:val="69A7D3E9"/>
    <w:rsid w:val="69AE437D"/>
    <w:rsid w:val="69C241B8"/>
    <w:rsid w:val="6A75110E"/>
    <w:rsid w:val="6ACB37B7"/>
    <w:rsid w:val="6B77B14D"/>
    <w:rsid w:val="6B827FF1"/>
    <w:rsid w:val="6C0D942F"/>
    <w:rsid w:val="6C9FF1D6"/>
    <w:rsid w:val="6CA88944"/>
    <w:rsid w:val="6E935EB6"/>
    <w:rsid w:val="6EDC6226"/>
    <w:rsid w:val="6F404AEC"/>
    <w:rsid w:val="6F54ACFF"/>
    <w:rsid w:val="6FB85128"/>
    <w:rsid w:val="6FC78AC6"/>
    <w:rsid w:val="6FC944E8"/>
    <w:rsid w:val="703AFE4C"/>
    <w:rsid w:val="70E80174"/>
    <w:rsid w:val="719E0239"/>
    <w:rsid w:val="722E6F5D"/>
    <w:rsid w:val="7276A74B"/>
    <w:rsid w:val="72A90220"/>
    <w:rsid w:val="731CAA31"/>
    <w:rsid w:val="7360955D"/>
    <w:rsid w:val="736B7B51"/>
    <w:rsid w:val="736E1852"/>
    <w:rsid w:val="73D08434"/>
    <w:rsid w:val="751CF851"/>
    <w:rsid w:val="75F7A805"/>
    <w:rsid w:val="769C1D45"/>
    <w:rsid w:val="76C340C3"/>
    <w:rsid w:val="773FE9B6"/>
    <w:rsid w:val="77479CD4"/>
    <w:rsid w:val="776DBC16"/>
    <w:rsid w:val="77AEF274"/>
    <w:rsid w:val="77CF456D"/>
    <w:rsid w:val="78899A83"/>
    <w:rsid w:val="78F498BD"/>
    <w:rsid w:val="7A6FA436"/>
    <w:rsid w:val="7ACFB44A"/>
    <w:rsid w:val="7B3F0C39"/>
    <w:rsid w:val="7B588826"/>
    <w:rsid w:val="7BAAB702"/>
    <w:rsid w:val="7BDD1538"/>
    <w:rsid w:val="7CA8DB70"/>
    <w:rsid w:val="7E6986BA"/>
    <w:rsid w:val="7EBBDA95"/>
    <w:rsid w:val="7F46D3A3"/>
    <w:rsid w:val="7F57C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BB3F"/>
  <w15:chartTrackingRefBased/>
  <w15:docId w15:val="{2A29C15E-D006-46AC-A0CE-F3CCFAF1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7B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A3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7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6D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.scc.kit.edu/ubelj/psda-group-4-assignment-4/-/tree/master/cause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3F9C00A6DA2646A83373DB5C567C9C" ma:contentTypeVersion="8" ma:contentTypeDescription="Ein neues Dokument erstellen." ma:contentTypeScope="" ma:versionID="1c18dc188f26612626c48d01ccf14942">
  <xsd:schema xmlns:xsd="http://www.w3.org/2001/XMLSchema" xmlns:xs="http://www.w3.org/2001/XMLSchema" xmlns:p="http://schemas.microsoft.com/office/2006/metadata/properties" xmlns:ns2="c90a51bd-59d7-4800-943c-0daddcaa056f" targetNamespace="http://schemas.microsoft.com/office/2006/metadata/properties" ma:root="true" ma:fieldsID="8eb628d6e114b2749f4e9a8eb5a920a6" ns2:_="">
    <xsd:import namespace="c90a51bd-59d7-4800-943c-0daddcaa05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a51bd-59d7-4800-943c-0daddcaa0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5DF416-109F-4BAA-AEA1-35C55F049B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a51bd-59d7-4800-943c-0daddcaa05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FB18DC-5517-4E2C-9E0D-ED6B2DBF415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c90a51bd-59d7-4800-943c-0daddcaa056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2E4BDFD-6A22-4166-AF64-0EF24176C2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Links>
    <vt:vector size="6" baseType="variant">
      <vt:variant>
        <vt:i4>983134</vt:i4>
      </vt:variant>
      <vt:variant>
        <vt:i4>0</vt:i4>
      </vt:variant>
      <vt:variant>
        <vt:i4>0</vt:i4>
      </vt:variant>
      <vt:variant>
        <vt:i4>5</vt:i4>
      </vt:variant>
      <vt:variant>
        <vt:lpwstr>https://git.scc.kit.edu/ubelj/psda-group-4-assignment-4/-/tree/master/causeme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ubelj</dc:creator>
  <cp:keywords/>
  <dc:description/>
  <cp:lastModifiedBy>ubelj</cp:lastModifiedBy>
  <cp:revision>2</cp:revision>
  <dcterms:created xsi:type="dcterms:W3CDTF">2020-07-19T20:26:00Z</dcterms:created>
  <dcterms:modified xsi:type="dcterms:W3CDTF">2020-07-19T20:26:00Z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0x0101002A3F9C00A6DA2646A83373DB5C567C9C</vt:lpwstr>
  </property>
</Properties>
</file>