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left"/>
      </w:pPr>
      <w:r>
        <w:t>Pneumonia Model Training Details</w:t>
      </w:r>
    </w:p>
    <w:p>
      <w:pPr>
        <w:pStyle w:val="Subtitle"/>
        <w:pBdr>
          <w:bottom w:val="single" w:sz="12" w:space="1" w:color="000000"/>
        </w:pBdr>
      </w:pPr>
      <w:r>
        <w:t>Research-complete three-class chest X-ray classification report</w:t>
      </w:r>
    </w:p>
    <w:p>
      <w:r>
        <w:rPr>
          <w:rFonts w:ascii="Arial" w:hAnsi="Arial" w:eastAsia="Arial"/>
          <w:color w:val="000000"/>
          <w:sz w:val="21"/>
        </w:rPr>
        <w:t>Normal | Viral Pneumonia | Bacterial Pneumonia</w:t>
      </w:r>
    </w:p>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6760"/>
      </w:tblGrid>
      <w:tr>
        <w:trPr>
          <w:cantSplit/>
          <w:tblHeader w:val="true"/>
        </w:trPr>
        <w:tc>
          <w:tcPr>
            <w:tcW w:type="dxa" w:w="2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8"/>
              </w:rPr>
              <w:t>Report field</w:t>
            </w:r>
          </w:p>
        </w:tc>
        <w:tc>
          <w:tcPr>
            <w:tcW w:type="dxa" w:w="67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8"/>
              </w:rPr>
              <w:t>Final value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Status</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Research pipeline complete; single locked-test evaluation completed</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Selected run</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final_selected_s42</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Architecture / preprocessing</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densenet201 / histogram_equalization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Locked-test macro F1</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0.788772</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Locked-test balanced accuracy</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0.785812</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Locked-test accuracy</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0.798627</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Generated</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8"/>
              </w:rPr>
              <w:t>August 03, 2026 at 01:55 PM Malay Peninsula Standard Time</w:t>
            </w:r>
          </w:p>
        </w:tc>
      </w:tr>
    </w:tbl>
    <w:p>
      <w:pPr>
        <w:spacing w:after="40"/>
      </w:pPr>
    </w:p>
    <w:p>
      <w:pPr>
        <w:keepLines/>
        <w:spacing w:before="80" w:after="160"/>
        <w:pBdr>
          <w:bottom w:val="single" w:sz="6" w:space="1" w:color="000000"/>
        </w:pBdr>
      </w:pPr>
      <w:r>
        <w:rPr>
          <w:rFonts w:ascii="Arial" w:hAnsi="Arial" w:eastAsia="Arial"/>
          <w:b/>
          <w:color w:val="000000"/>
          <w:sz w:val="20"/>
        </w:rPr>
        <w:t>All model-selection decisions use the locked validation set. The test set was evaluated once after architecture, preprocessing, hyperparameters, seed protocol, and checkpoint policy were frozen.</w:t>
      </w:r>
    </w:p>
    <w:p>
      <w:r>
        <w:br w:type="page"/>
      </w:r>
    </w:p>
    <w:p>
      <w:pPr>
        <w:pStyle w:val="Heading1"/>
      </w:pPr>
      <w:r>
        <w:rPr>
          <w:rFonts w:ascii="Arial" w:hAnsi="Arial" w:eastAsia="Arial"/>
          <w:b/>
          <w:color w:val="000000"/>
          <w:sz w:val="32"/>
        </w:rPr>
        <w:t>Executive Summary</w:t>
      </w:r>
    </w:p>
    <w:p>
      <w:r>
        <w:rPr>
          <w:rFonts w:ascii="Arial" w:hAnsi="Arial" w:eastAsia="Arial"/>
          <w:color w:val="000000"/>
          <w:sz w:val="21"/>
        </w:rPr>
        <w:t>Eight baseline classifiers were trained and verified, nine new preprocessing ablations were completed on three representative models, three bounded Optuna studies were executed, and the selected configuration was independently retrained at seeds 42, 123, and 2026. The final selected model is densenet201 with histogram_equalization preprocessing. Robustness validation macro F1 was 0.838948 +/- 0.005024 (sample standard deviation).</w:t>
      </w:r>
    </w:p>
    <w:p>
      <w:r>
        <w:rPr>
          <w:rFonts w:ascii="Arial" w:hAnsi="Arial" w:eastAsia="Arial"/>
          <w:color w:val="000000"/>
          <w:sz w:val="21"/>
        </w:rPr>
        <w:t>The single locked-test evaluation produced accuracy 0.798627, balanced accuracy 0.785812, macro F1 0.788772, macro one-vs-rest ROC AUC 0.889088, and expected calibration error 0.100402 before post-hoc temperature scaling.</w:t>
      </w:r>
    </w:p>
    <w:p>
      <w:r>
        <w:rPr>
          <w:rFonts w:ascii="Arial" w:hAnsi="Arial" w:eastAsia="Arial"/>
          <w:color w:val="000000"/>
          <w:sz w:val="21"/>
        </w:rPr>
        <w:t>Temperature 1.405619 was fit on validation predictions only. On the already frozen test outputs, ECE changed from 0.100402 to 0.066029; accuracy and macro F1 are unchanged because temperature scaling does not change the predicted class ordering.</w:t>
      </w:r>
    </w:p>
    <w:p>
      <w:r>
        <w:rPr>
          <w:rFonts w:ascii="Arial" w:hAnsi="Arial" w:eastAsia="Arial"/>
          <w:color w:val="000000"/>
          <w:sz w:val="21"/>
        </w:rPr>
        <w:t>End-to-end local batch-1 latency, including file decode, preprocessing, transfer, model, softmax, and argmax, was 67.53 ms/image on average (102.02 ms at the 95th percentile). This is an engineering measurement, not a clinical deployment claim.</w:t>
      </w:r>
    </w:p>
    <w:p>
      <w:pPr>
        <w:pStyle w:val="ListBullet"/>
      </w:pPr>
      <w:r>
        <w:rPr>
          <w:rFonts w:ascii="Arial" w:hAnsi="Arial" w:eastAsia="Arial"/>
          <w:color w:val="000000"/>
          <w:sz w:val="21"/>
        </w:rPr>
        <w:t>Source data remained immutable: 17,591 files, 2,483,915,296 bytes, zero inventory mismatches.</w:t>
      </w:r>
    </w:p>
    <w:p>
      <w:pPr>
        <w:pStyle w:val="ListBullet"/>
      </w:pPr>
      <w:r>
        <w:rPr>
          <w:rFonts w:ascii="Arial" w:hAnsi="Arial" w:eastAsia="Arial"/>
          <w:color w:val="000000"/>
          <w:sz w:val="21"/>
        </w:rPr>
        <w:t>Locked manifests contain 4,076 train, 874 validation, and 874 test images with zero assigned group or exact-hash leakage.</w:t>
      </w:r>
    </w:p>
    <w:p>
      <w:pPr>
        <w:pStyle w:val="ListBullet"/>
      </w:pPr>
      <w:r>
        <w:rPr>
          <w:rFonts w:ascii="Arial" w:hAnsi="Arial" w:eastAsia="Arial"/>
          <w:color w:val="000000"/>
          <w:sz w:val="21"/>
        </w:rPr>
        <w:t>All 16 pHash candidates were manually inspected; all were distinct and no manifest change was made.</w:t>
      </w:r>
    </w:p>
    <w:p>
      <w:pPr>
        <w:pStyle w:val="ListBullet"/>
      </w:pPr>
      <w:r>
        <w:rPr>
          <w:rFonts w:ascii="Arial" w:hAnsi="Arial" w:eastAsia="Arial"/>
          <w:color w:val="000000"/>
          <w:sz w:val="21"/>
        </w:rPr>
        <w:t>All eight baseline artifact audits passed; completed baselines were not rerun.</w:t>
      </w:r>
    </w:p>
    <w:p>
      <w:pPr>
        <w:pStyle w:val="ListBullet"/>
      </w:pPr>
      <w:r>
        <w:rPr>
          <w:rFonts w:ascii="Arial" w:hAnsi="Arial" w:eastAsia="Arial"/>
          <w:color w:val="000000"/>
          <w:sz w:val="21"/>
        </w:rPr>
        <w:t>YOLOv10 classification remained excluded because no genuine compatible official classification head/checkpoint was verified.</w:t>
      </w:r>
    </w:p>
    <w:p>
      <w:pPr>
        <w:keepLines/>
        <w:spacing w:before="80" w:after="160"/>
        <w:pBdr>
          <w:bottom w:val="single" w:sz="6" w:space="1" w:color="000000"/>
        </w:pBdr>
      </w:pPr>
      <w:r>
        <w:rPr>
          <w:rFonts w:ascii="Arial" w:hAnsi="Arial" w:eastAsia="Arial"/>
          <w:b/>
          <w:color w:val="000000"/>
          <w:sz w:val="20"/>
        </w:rPr>
        <w:t>Clinical boundary: this is a controlled benchmark on one public pediatric CXR source. It is not a clinical diagnosis system or external validation study.</w:t>
      </w:r>
    </w:p>
    <w:p>
      <w:pPr>
        <w:pStyle w:val="Heading2"/>
      </w:pPr>
      <w:r>
        <w:rPr>
          <w:rFonts w:ascii="Arial" w:hAnsi="Arial" w:eastAsia="Arial"/>
          <w:b/>
          <w:color w:val="000000"/>
          <w:sz w:val="26"/>
        </w:rPr>
        <w:t>Research Completion Status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550"/>
        <w:gridCol w:w="2800"/>
        <w:gridCol w:w="3210"/>
      </w:tblGrid>
      <w:tr>
        <w:trPr>
          <w:cantSplit/>
          <w:tblHeader w:val="true"/>
        </w:trPr>
        <w:tc>
          <w:tcPr>
            <w:tcW w:type="dxa" w:w="1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Research Stage</w:t>
            </w:r>
          </w:p>
        </w:tc>
        <w:tc>
          <w:tcPr>
            <w:tcW w:type="dxa" w:w="15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Previous Status</w:t>
            </w:r>
          </w:p>
        </w:tc>
        <w:tc>
          <w:tcPr>
            <w:tcW w:type="dxa" w:w="2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New Status</w:t>
            </w:r>
          </w:p>
        </w:tc>
        <w:tc>
          <w:tcPr>
            <w:tcW w:type="dxa" w:w="321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Evidence/File</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 benchmark</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Complete</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Complete; 8/8 supported models verified</w:t>
            </w:r>
          </w:p>
        </w:tc>
        <w:tc>
          <w:tcPr>
            <w:tcW w:type="dxa" w:w="32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model/results/audits/completed_baseline_artifact_audit.json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ablations</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 of 3</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Complete; 3/3 methods, 9/9 new runs</w:t>
            </w:r>
          </w:p>
        </w:tc>
        <w:tc>
          <w:tcPr>
            <w:tcW w:type="dxa" w:w="32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model/results/preprocessing_ablation_analysis.json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Focused comparisons</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started</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Complete; validation-only aliases, no redundant retraining</w:t>
            </w:r>
          </w:p>
        </w:tc>
        <w:tc>
          <w:tcPr>
            <w:tcW w:type="dxa" w:w="32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model/results/selection_resolution.json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Optuna tuning</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 trials</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Complete; 12/12 completed trials; every state retained</w:t>
            </w:r>
          </w:p>
        </w:tc>
        <w:tc>
          <w:tcPr>
            <w:tcW w:type="dxa" w:w="32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model/results/tuning_trials.csv</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Multi-seed robustness</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started</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Complete; 3/3 seeds</w:t>
            </w:r>
          </w:p>
        </w:tc>
        <w:tc>
          <w:tcPr>
            <w:tcW w:type="dxa" w:w="32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model/results/seed_robustness.csv</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Locked-test evaluation</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performed</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Complete; one frozen representative evaluation</w:t>
            </w:r>
          </w:p>
        </w:tc>
        <w:tc>
          <w:tcPr>
            <w:tcW w:type="dxa" w:w="32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model/results/runs/final_locked_test/metrics.json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Final selection</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established</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Established and frozen: final_selected_s42</w:t>
            </w:r>
          </w:p>
        </w:tc>
        <w:tc>
          <w:tcPr>
            <w:tcW w:type="dxa" w:w="32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model/results/final_selection.json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Explainability</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completed</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Complete; 6 post-freeze Grad-CAM cases</w:t>
            </w:r>
          </w:p>
        </w:tc>
        <w:tc>
          <w:tcPr>
            <w:tcW w:type="dxa" w:w="32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model/results/gradcam/gradcam_audit.json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Documentation</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Partially complete</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Complete; versioned Word plus Markdown/CSV/JSON evidence</w:t>
            </w:r>
          </w:p>
        </w:tc>
        <w:tc>
          <w:tcPr>
            <w:tcW w:type="dxa" w:w="32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model/docs and model/results</w:t>
            </w:r>
          </w:p>
        </w:tc>
      </w:tr>
    </w:tbl>
    <w:p>
      <w:pPr>
        <w:spacing w:after="40"/>
      </w:pPr>
    </w:p>
    <w:p>
      <w:r>
        <w:br w:type="page"/>
      </w:r>
    </w:p>
    <w:p>
      <w:pPr>
        <w:pStyle w:val="Heading1"/>
      </w:pPr>
      <w:r>
        <w:rPr>
          <w:rFonts w:ascii="Arial" w:hAnsi="Arial" w:eastAsia="Arial"/>
          <w:b/>
          <w:color w:val="000000"/>
          <w:sz w:val="32"/>
        </w:rPr>
        <w:t>1. Repository, Source, and Locked Dataset Audit</w:t>
      </w:r>
    </w:p>
    <w:p>
      <w:r>
        <w:rPr>
          <w:rFonts w:ascii="Arial" w:hAnsi="Arial" w:eastAsia="Arial"/>
          <w:color w:val="000000"/>
          <w:sz w:val="21"/>
        </w:rPr>
        <w:t>The continuation began by auditing the supplied Word report, repository code, manifests, checkpoints, logs, metrics, and training environment. No baseline was rerun and no source image or locked manifest was modified.</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6760"/>
      </w:tblGrid>
      <w:tr>
        <w:trPr>
          <w:cantSplit/>
          <w:tblHeader w:val="true"/>
        </w:trPr>
        <w:tc>
          <w:tcPr>
            <w:tcW w:type="dxa" w:w="2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Audit item</w:t>
            </w:r>
          </w:p>
        </w:tc>
        <w:tc>
          <w:tcPr>
            <w:tcW w:type="dxa" w:w="67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Verified value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Repository branch</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codex/research-continuation-v2</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Starting commit</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3dbd85ecbe8c408c858c84aa2b8e333c422f6192</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Source root</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C:\Users\JOHN MARK\Code\ai-research-main\model\datasets\chest_xray</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Source files / bytes</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17,591 / 2,483,915,296</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Inventory SHA-256</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4ee6dd784207a910043f62cff542a5d805c312fcddafa90ce1a058d03402f734</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Manifest version</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three_class_seed42_3b815cf769c8</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Manifest SHA-256</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3b815cf769c85658a04748da5eb2e15b981b89d9c9b77a404e90fe23473d2774</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 order</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 Viral, Bacterial</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Assigned leakage</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 group leakage; 0 exact-hash leakage</w:t>
            </w:r>
          </w:p>
        </w:tc>
      </w:tr>
    </w:tbl>
    <w:p>
      <w:pPr>
        <w:spacing w:after="40"/>
      </w:pPr>
    </w:p>
    <w:p>
      <w:pPr>
        <w:pStyle w:val="Heading2"/>
      </w:pPr>
      <w:r>
        <w:rPr>
          <w:rFonts w:ascii="Arial" w:hAnsi="Arial" w:eastAsia="Arial"/>
          <w:b/>
          <w:color w:val="000000"/>
          <w:sz w:val="26"/>
        </w:rPr>
        <w:t>1.1 Split composition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0"/>
        <w:gridCol w:w="1300"/>
        <w:gridCol w:w="1300"/>
        <w:gridCol w:w="1500"/>
        <w:gridCol w:w="1500"/>
        <w:gridCol w:w="2300"/>
      </w:tblGrid>
      <w:tr>
        <w:trPr>
          <w:cantSplit/>
          <w:tblHeader w:val="true"/>
        </w:trPr>
        <w:tc>
          <w:tcPr>
            <w:tcW w:type="dxa" w:w="14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Split</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Total</w:t>
            </w:r>
          </w:p>
        </w:tc>
        <w:tc>
          <w:tcPr>
            <w:tcW w:type="dxa" w:w="2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Groups</w:t>
            </w:r>
          </w:p>
        </w:tc>
      </w:tr>
      <w:tr>
        <w:trPr>
          <w:cantSplit/>
        </w:trPr>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Train</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1105</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1039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1932</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4076</w:t>
            </w:r>
          </w:p>
        </w:tc>
        <w:tc>
          <w:tcPr>
            <w:tcW w:type="dxa" w:w="2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2326</w:t>
            </w:r>
          </w:p>
        </w:tc>
      </w:tr>
      <w:tr>
        <w:trPr>
          <w:cantSplit/>
        </w:trPr>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Val</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237</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223</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414</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874</w:t>
            </w:r>
          </w:p>
        </w:tc>
        <w:tc>
          <w:tcPr>
            <w:tcW w:type="dxa" w:w="2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228</w:t>
            </w:r>
          </w:p>
        </w:tc>
      </w:tr>
      <w:tr>
        <w:trPr>
          <w:cantSplit/>
        </w:trPr>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Test</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237</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223</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414</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874</w:t>
            </w:r>
          </w:p>
        </w:tc>
        <w:tc>
          <w:tcPr>
            <w:tcW w:type="dxa" w:w="2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235</w:t>
            </w:r>
          </w:p>
        </w:tc>
      </w:tr>
    </w:tbl>
    <w:p>
      <w:pPr>
        <w:spacing w:after="40"/>
      </w:pPr>
    </w:p>
    <w:p>
      <w:r>
        <w:rPr>
          <w:rFonts w:ascii="Arial" w:hAnsi="Arial" w:eastAsia="Arial"/>
          <w:color w:val="000000"/>
          <w:sz w:val="21"/>
        </w:rPr>
        <w:t>The original folder split was not preserved because 264 derived patient/image groups crossed the original folders. A deterministic group-aware assignment was created without consulting image content or test metrics. Exact-hash groups were unioned before splitting.</w:t>
      </w:r>
    </w:p>
    <w:p>
      <w:pPr>
        <w:pStyle w:val="Heading2"/>
      </w:pPr>
      <w:r>
        <w:rPr>
          <w:rFonts w:ascii="Arial" w:hAnsi="Arial" w:eastAsia="Arial"/>
          <w:b/>
          <w:color w:val="000000"/>
          <w:sz w:val="26"/>
        </w:rPr>
        <w:t>1.2 What 'canonical image' and the duplicate counts mean</w:t>
      </w:r>
    </w:p>
    <w:p>
      <w:r>
        <w:rPr>
          <w:rFonts w:ascii="Arial" w:hAnsi="Arial" w:eastAsia="Arial"/>
          <w:color w:val="000000"/>
          <w:sz w:val="21"/>
        </w:rPr>
        <w:t>A canonical image is the selected primary representative of an intended dataset item after excluding macOS metadata, verified nested copies, unrecognized layout artifacts, and redundant byte-identical content. The source contained 5,856 valid canonical-role physical images before exact deduplication and 5,824 unique canonical images after 32 redundant exact images were excluded.</w:t>
      </w:r>
    </w:p>
    <w:p>
      <w:r>
        <w:rPr>
          <w:rFonts w:ascii="Arial" w:hAnsi="Arial" w:eastAsia="Arial"/>
          <w:color w:val="000000"/>
          <w:sz w:val="21"/>
        </w:rPr>
        <w:t>The value 5,888 in duplicate_report.csv is not the number of training images removed. It is a physical report-row count describing exact-content relationships across canonical files and verified nested copies. SHA-256/byte identity found exact duplicates. The 64-bit DCT pHash was used only to flag visually similar candidates for human review.</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1000"/>
        <w:gridCol w:w="5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Duplicate/audit concept</w:t>
            </w:r>
          </w:p>
        </w:tc>
        <w:tc>
          <w:tcPr>
            <w:tcW w:type="dxa" w:w="1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Count</w:t>
            </w:r>
          </w:p>
        </w:tc>
        <w:tc>
          <w:tcPr>
            <w:tcW w:type="dxa" w:w="5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Meaning</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Canonical redundant exact images excluded</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32</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Unique-data deduplication decision</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Physical exact-duplicate report rows</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5,888</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Relationships including nested copies</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Original folder group crossings</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264</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Reason original split was rejected</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Nested-copy mismatches</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Excluded source-layout anomalies</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pHash candidates</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16</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Manual review queue, not automatic duplicates</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Confirmed near duplicates</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All 16 pairs were distinct</w:t>
            </w:r>
          </w:p>
        </w:tc>
      </w:tr>
    </w:tbl>
    <w:p>
      <w:pPr>
        <w:spacing w:after="40"/>
      </w:pPr>
    </w:p>
    <w:p>
      <w:pPr>
        <w:pStyle w:val="Heading2"/>
      </w:pPr>
      <w:r>
        <w:rPr>
          <w:rFonts w:ascii="Arial" w:hAnsi="Arial" w:eastAsia="Arial"/>
          <w:b/>
          <w:color w:val="000000"/>
          <w:sz w:val="26"/>
        </w:rPr>
        <w:t>1.3 Manual review of all 16 pHash candidates</w:t>
      </w:r>
    </w:p>
    <w:p>
      <w:r>
        <w:rPr>
          <w:rFonts w:ascii="Arial" w:hAnsi="Arial" w:eastAsia="Arial"/>
          <w:color w:val="000000"/>
          <w:sz w:val="21"/>
        </w:rPr>
        <w:t>Five candidates crossed assigned splits. Each evidence sheet was inspected for thoracic anatomy, clavicle/rib geometry, cardiomediastinal contour, diaphragm shape, lung volume, positioning, exposure, and markers. Similar centered radiograph geometry explained the low pHash distance; no pair represented the same image.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1300"/>
        <w:gridCol w:w="2200"/>
        <w:gridCol w:w="3610"/>
      </w:tblGrid>
      <w:tr>
        <w:trPr>
          <w:cantSplit/>
          <w:tblHeader w:val="true"/>
        </w:trPr>
        <w:tc>
          <w:tcPr>
            <w:tcW w:type="dxa" w:w="22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Pair</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Assigned splits</w:t>
            </w:r>
          </w:p>
        </w:tc>
        <w:tc>
          <w:tcPr>
            <w:tcW w:type="dxa" w:w="2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Decision</w:t>
            </w:r>
          </w:p>
        </w:tc>
        <w:tc>
          <w:tcPr>
            <w:tcW w:type="dxa" w:w="361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Visual basis</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near_5611f5dce8b45d92</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thoracic anatomy, inspiration, positioning, and R-marker placement.</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near_00f755ace402461b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test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thoracic contours, clavicle alignment, exposure, and diaphragm shape.</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near_9baff834314599d5</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test</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body size, positioning, lung volumes, and cardiomediastinal contours.</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near_ab80f0eac1b035bd</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age/body size, clavicle alignment, lung volumes, and diaphragm contours.</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near_5776286b699047d0</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thoracic proportions, cardiac silhouette, inspiration, and marker placement.</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near_605ba5843cd4df27</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age/body size, exposure, lung volumes, and cardiomediastinal anatomy.</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near_1ba4be31eda3af8f</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thoracic proportions, rotation, cardiac silhouette, and lung texture.</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near_78528749b3f26e02</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thoracic anatomy, inspiration, projection, and marker placement.</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near_fe8ef67898a877da</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shoulder/clavicle geometry, cardiac silhouette, diaphragm, and positioning.</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near_bb0271d7571b90bf</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rotation, rib and clavicle geometry, cardiac contour, and exposure.</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near_108295e9cc425d75</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val</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body size, rotation, shoulder anatomy, and cardiomediastinal contours.</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near_46a898efcc56e29e</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val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infant anatomy, lung volumes, rib geometry, and cardiac silhouette.</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near_03e374c0d9e71141</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exposure, thoracic proportions, lung texture, and cardiac silhouette.</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near_5259cdc0ec6f4917</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body size, rib/clavicle alignment, lung texture, and diaphragm contours.</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near_90cf97b9b16e2b4e</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val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age/body size, rotation, thoracic anatomy, and cardiac silhouette.</w:t>
            </w:r>
          </w:p>
        </w:tc>
      </w:tr>
      <w:tr>
        <w:trPr>
          <w:cantSplit/>
        </w:trPr>
        <w:tc>
          <w:tcPr>
            <w:tcW w:type="dxa" w:w="2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near_1ba9cfb07901db30</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 / train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Distinct images - retain both</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thoracic proportions, lung texture, cardiac silhouette, and positioning.</w:t>
            </w:r>
          </w:p>
        </w:tc>
      </w:tr>
    </w:tbl>
    <w:p>
      <w:pPr>
        <w:spacing w:after="40"/>
      </w:pPr>
    </w:p>
    <w:p>
      <w:r>
        <w:br w:type="page"/>
      </w:r>
    </w:p>
    <w:p>
      <w:pPr>
        <w:pStyle w:val="Heading1"/>
      </w:pPr>
      <w:r>
        <w:rPr>
          <w:rFonts w:ascii="Arial" w:hAnsi="Arial" w:eastAsia="Arial"/>
          <w:b/>
          <w:color w:val="000000"/>
          <w:sz w:val="32"/>
        </w:rPr>
        <w:t>2. Preprocessing and Augmentation</w:t>
      </w:r>
    </w:p>
    <w:p>
      <w:pPr>
        <w:keepLines/>
        <w:spacing w:before="80" w:after="160"/>
        <w:pBdr>
          <w:bottom w:val="single" w:sz="6" w:space="1" w:color="000000"/>
        </w:pBdr>
      </w:pPr>
      <w:r>
        <w:rPr>
          <w:rFonts w:ascii="Arial" w:hAnsi="Arial" w:eastAsia="Arial"/>
          <w:b/>
          <w:color w:val="000000"/>
          <w:sz w:val="20"/>
        </w:rPr>
        <w:t>Exact tensor pipeline: locked manifest -&gt; open image -&gt; enhancement/RGB -&gt; training-only flip -&gt; training-only rotation -&gt; aspect-ratio-preserving resize-to-fill and center crop -&gt; float32 [0,1] -&gt; CHW -&gt; ImageNet normalization -&gt; 3 x 224 x 224.</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400"/>
        <w:gridCol w:w="6260"/>
      </w:tblGrid>
      <w:tr>
        <w:trPr>
          <w:cantSplit/>
          <w:tblHeader w:val="true"/>
        </w:trPr>
        <w:tc>
          <w:tcPr>
            <w:tcW w:type="dxa" w:w="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Step</w:t>
            </w:r>
          </w:p>
        </w:tc>
        <w:tc>
          <w:tcPr>
            <w:tcW w:type="dxa" w:w="2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Operation</w:t>
            </w:r>
          </w:p>
        </w:tc>
        <w:tc>
          <w:tcPr>
            <w:tcW w:type="dxa" w:w="6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Exact meaning</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Open the original</w:t>
            </w:r>
          </w:p>
        </w:tc>
        <w:tc>
          <w:tcPr>
            <w:tcW w:type="dxa" w:w="6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Pillow decodes the immutable source file named by the locked manifest.</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Convert/enhance</w:t>
            </w:r>
          </w:p>
        </w:tc>
        <w:tc>
          <w:tcPr>
            <w:tcW w:type="dxa" w:w="6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Baseline converts to RGB. CLAHE/global HE convert to grayscale, enhance, then replicate to RGB. VIRIDIS maps grayscale intensity to artificial RGB.</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3</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Horizontal flip (training only)</w:t>
            </w:r>
          </w:p>
        </w:tc>
        <w:tc>
          <w:tcPr>
            <w:tcW w:type="dxa" w:w="6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Probability 0.5. Validation/test never flip.</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Rotation (training only)</w:t>
            </w:r>
          </w:p>
        </w:tc>
        <w:tc>
          <w:tcPr>
            <w:tcW w:type="dxa" w:w="6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Uniform random angle from -5 to +5 degrees with bilinear resampling and black corner fill.</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5</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Resize and crop</w:t>
            </w:r>
          </w:p>
        </w:tc>
        <w:tc>
          <w:tcPr>
            <w:tcW w:type="dxa" w:w="6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Pillow ImageOps.fit preserves aspect ratio, scales until 224 x 224 is filled, and center-crops excess edges. It does not pad, letterbox, or stretch.</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6</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Scale pixels</w:t>
            </w:r>
          </w:p>
        </w:tc>
        <w:tc>
          <w:tcPr>
            <w:tcW w:type="dxa" w:w="6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Convert to float32 and divide by 255, yielding values in [0,1].</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7</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Transpose</w:t>
            </w:r>
          </w:p>
        </w:tc>
        <w:tc>
          <w:tcPr>
            <w:tcW w:type="dxa" w:w="6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Convert H x W x C into C x H x W for PyTorch.</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8</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Normalize</w:t>
            </w:r>
          </w:p>
        </w:tc>
        <w:tc>
          <w:tcPr>
            <w:tcW w:type="dxa" w:w="6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Subtract ImageNet means [0.485,0.456,0.406] and divide by [0.229,0.224,0.225].</w:t>
            </w:r>
          </w:p>
        </w:tc>
      </w:tr>
    </w:tbl>
    <w:p>
      <w:pPr>
        <w:spacing w:after="40"/>
      </w:pPr>
    </w:p>
    <w:p>
      <w:pPr>
        <w:pStyle w:val="Heading2"/>
      </w:pPr>
      <w:r>
        <w:rPr>
          <w:rFonts w:ascii="Arial" w:hAnsi="Arial" w:eastAsia="Arial"/>
          <w:b/>
          <w:color w:val="000000"/>
          <w:sz w:val="26"/>
        </w:rPr>
        <w:t>2.1 Enhancement conditions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50"/>
        <w:gridCol w:w="3000"/>
        <w:gridCol w:w="3610"/>
      </w:tblGrid>
      <w:tr>
        <w:trPr>
          <w:cantSplit/>
          <w:tblHeader w:val="true"/>
        </w:trPr>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Condition</w:t>
            </w:r>
          </w:p>
        </w:tc>
        <w:tc>
          <w:tcPr>
            <w:tcW w:type="dxa" w:w="12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Included?</w:t>
            </w:r>
          </w:p>
        </w:tc>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Exact implementation</w:t>
            </w:r>
          </w:p>
        </w:tc>
        <w:tc>
          <w:tcPr>
            <w:tcW w:type="dxa" w:w="361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Why / boundary</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 enhancement</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Yes; completed control</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RGB conversion only</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Preserves original intensity appearance and pretrained RGB contract.</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CLAHE</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Yes</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OpenCV CLAHE; clipLimit 2.0; tileGridSize 8 x 8 on grayscale</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Local contrast candidate supported partially by CXR literature; effect tested independently.</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Global HE</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Yes</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Pillow ImageOps.equalize on grayscale</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Direct pediatric CXR evidence motivates a controlled comparison.</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VIRIDIS</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Yes; exploratory</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OpenCV COLORMAP_VIRIDIS on grayscale</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 direct exact-task validation was found; cannot be described as adding clinical information.</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PCA</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 raw-image PCA</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 leakage-safe, train-only feature-space representation/question was defined.</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FILM</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 implementation</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 verified conditioning signal or reproducible definition existed.</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SAS tuning / automated grading</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 implementation</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Undefined in repository evidence; no results fabricated.</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Segmentation/ROI masking</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 lung mask</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Localization literature is Partial evidence only; adding a segmenter would change the task and error chain.</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Vertical flip / large rotation</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Excluded</w:t>
            </w:r>
          </w:p>
        </w:tc>
        <w:tc>
          <w:tcPr>
            <w:tcW w:type="dxa" w:w="36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Anatomically implausible or excessive for this controlled CXR study.</w:t>
            </w:r>
          </w:p>
        </w:tc>
      </w:tr>
    </w:tbl>
    <w:p>
      <w:pPr>
        <w:spacing w:after="40"/>
      </w:pPr>
    </w:p>
    <w:p>
      <w:r>
        <w:rPr>
          <w:rFonts w:ascii="Arial" w:hAnsi="Arial" w:eastAsia="Arial"/>
          <w:color w:val="000000"/>
          <w:sz w:val="21"/>
        </w:rPr>
        <w:t>Enhancement is deterministic and applied before augmentation and crop. Augmentation is sampled on-the-fly during every training access; no augmented image files are written into the locked dataset. Validation and test use deterministic transforms only.</w:t>
      </w:r>
    </w:p>
    <w:p>
      <w:pPr>
        <w:keepNext/>
        <w:jc w:val="center"/>
      </w:pPr>
      <w:r>
        <w:drawing>
          <wp:inline xmlns:a="http://schemas.openxmlformats.org/drawingml/2006/main" xmlns:pic="http://schemas.openxmlformats.org/drawingml/2006/picture">
            <wp:extent cx="5669280" cy="3921252"/>
            <wp:docPr id="1" name="Picture 1"/>
            <wp:cNvGraphicFramePr>
              <a:graphicFrameLocks noChangeAspect="1"/>
            </wp:cNvGraphicFramePr>
            <a:graphic>
              <a:graphicData uri="http://schemas.openxmlformats.org/drawingml/2006/picture">
                <pic:pic>
                  <pic:nvPicPr>
                    <pic:cNvPr id="0" name="preprocessing_comparison.png"/>
                    <pic:cNvPicPr/>
                  </pic:nvPicPr>
                  <pic:blipFill>
                    <a:blip r:embed="rId11"/>
                    <a:stretch>
                      <a:fillRect/>
                    </a:stretch>
                  </pic:blipFill>
                  <pic:spPr>
                    <a:xfrm>
                      <a:off x="0" y="0"/>
                      <a:ext cx="5669280" cy="3921252"/>
                    </a:xfrm>
                    <a:prstGeom prst="rect"/>
                  </pic:spPr>
                </pic:pic>
              </a:graphicData>
            </a:graphic>
          </wp:inline>
        </w:drawing>
      </w:r>
    </w:p>
    <w:p>
      <w:pPr>
        <w:pStyle w:val="Caption"/>
        <w:jc w:val="center"/>
      </w:pPr>
      <w:r>
        <w:rPr>
          <w:rFonts w:ascii="Arial" w:hAnsi="Arial" w:eastAsia="Arial"/>
          <w:color w:val="000000"/>
          <w:sz w:val="17"/>
        </w:rPr>
        <w:t>Pre-normalization examples for the four supported conditions. VIRIDIS is an exploratory artificial colormap.</w:t>
      </w:r>
    </w:p>
    <w:p>
      <w:r>
        <w:br w:type="page"/>
      </w:r>
    </w:p>
    <w:p>
      <w:pPr>
        <w:pStyle w:val="Heading1"/>
      </w:pPr>
      <w:r>
        <w:rPr>
          <w:rFonts w:ascii="Arial" w:hAnsi="Arial" w:eastAsia="Arial"/>
          <w:b/>
          <w:color w:val="000000"/>
          <w:sz w:val="32"/>
        </w:rPr>
        <w:t>3. Models and Training Procedure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00"/>
        <w:gridCol w:w="6860"/>
      </w:tblGrid>
      <w:tr>
        <w:trPr>
          <w:cantSplit/>
          <w:tblHeader w:val="true"/>
        </w:trPr>
        <w:tc>
          <w:tcPr>
            <w:tcW w:type="dxa" w:w="2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Setting</w:t>
            </w:r>
          </w:p>
        </w:tc>
        <w:tc>
          <w:tcPr>
            <w:tcW w:type="dxa" w:w="68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Final controlled definition</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Task</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Single-label three-class classification: Normal, Viral, Bacterial</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Weights</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Official/ImageNet classification weights; classifier replaced with three logits</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Fine-tuning</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Full network trainable</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Loss</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balanced class-weighted cross entropy</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Class weights</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Normal 1.229563; Viral 1.307668; Bacterial 0.703244</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Optimizer</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AdamW; initial learning rate 0.0001; weight decay 0.0001</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Scheduler</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ReduceLROnPlateau on validation macro F1, factor 0.5, patience 2</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Epoch ceiling</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12; best checkpoint by validation macro F1; early stopping patience 4</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Mixed precision</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Enabled on CUDA</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Seed</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42 for controlled comparison; later robustness seeds 42, 123, 2026</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Test access</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Prohibited until final selection lock</w:t>
            </w:r>
          </w:p>
        </w:tc>
      </w:tr>
    </w:tbl>
    <w:p>
      <w:pPr>
        <w:spacing w:after="40"/>
      </w:pPr>
    </w:p>
    <w:p>
      <w:pPr>
        <w:pStyle w:val="Heading2"/>
      </w:pPr>
      <w:r>
        <w:rPr>
          <w:rFonts w:ascii="Arial" w:hAnsi="Arial" w:eastAsia="Arial"/>
          <w:b/>
          <w:color w:val="000000"/>
          <w:sz w:val="26"/>
        </w:rPr>
        <w:t>3.1 Meaning of learning rate, weight decay, and 12 epochs</w:t>
      </w:r>
    </w:p>
    <w:p>
      <w:r>
        <w:rPr>
          <w:rFonts w:ascii="Arial" w:hAnsi="Arial" w:eastAsia="Arial"/>
          <w:color w:val="000000"/>
          <w:sz w:val="21"/>
        </w:rPr>
        <w:t>Learning rate 0.0001 is AdamW's initial step size. It is deliberately small for full-network fine-tuning so useful pretrained features are not destroyed by large updates. ReduceLROnPlateau halves the rate after two macro-F1 plateaus.</w:t>
      </w:r>
    </w:p>
    <w:p>
      <w:r>
        <w:rPr>
          <w:rFonts w:ascii="Arial" w:hAnsi="Arial" w:eastAsia="Arial"/>
          <w:color w:val="000000"/>
          <w:sz w:val="21"/>
        </w:rPr>
        <w:t>Weight decay 0.0001 is regularization: it gently discourages excessively large weights. It is not a second learning rate. The value is an engineering control shared by the completed comparisons, not a configuration copied blindly from another modality or paper.</w:t>
      </w:r>
    </w:p>
    <w:p>
      <w:r>
        <w:rPr>
          <w:rFonts w:ascii="Arial" w:hAnsi="Arial" w:eastAsia="Arial"/>
          <w:color w:val="000000"/>
          <w:sz w:val="21"/>
        </w:rPr>
        <w:t>Maximum 12 epochs means at most twelve complete passes through 4,076 training images. It is a ceiling. The best validation checkpoint is retained, and early stopping ends after four epochs without an improvement greater than 0.0001. Baseline best epochs ranged from 5 to 11.</w:t>
      </w:r>
    </w:p>
    <w:p>
      <w:pPr>
        <w:pStyle w:val="Heading2"/>
      </w:pPr>
      <w:r>
        <w:rPr>
          <w:rFonts w:ascii="Arial" w:hAnsi="Arial" w:eastAsia="Arial"/>
          <w:b/>
          <w:color w:val="000000"/>
          <w:sz w:val="26"/>
        </w:rPr>
        <w:t>3.2 How batch size was determined</w:t>
      </w:r>
    </w:p>
    <w:p>
      <w:r>
        <w:rPr>
          <w:rFonts w:ascii="Arial" w:hAnsi="Arial" w:eastAsia="Arial"/>
          <w:color w:val="000000"/>
          <w:sz w:val="21"/>
        </w:rPr>
        <w:t>Architecture-specific batch sizes were selected through actual CUDA forward/backward resource calibration on the 4 GB RTX 2050. They are the largest premeasured safe values used for each architecture. Within every preprocessing comparison, the completed control and its variants use the same batch size.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800"/>
        <w:gridCol w:w="1500"/>
        <w:gridCol w:w="5360"/>
      </w:tblGrid>
      <w:tr>
        <w:trPr>
          <w:cantSplit/>
          <w:tblHeader w:val="true"/>
        </w:trPr>
        <w:tc>
          <w:tcPr>
            <w:tcW w:type="dxa" w:w="1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Architecture</w:t>
            </w:r>
          </w:p>
        </w:tc>
        <w:tc>
          <w:tcPr>
            <w:tcW w:type="dxa" w:w="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Batch</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Parameters</w:t>
            </w:r>
          </w:p>
        </w:tc>
        <w:tc>
          <w:tcPr>
            <w:tcW w:type="dxa" w:w="5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Weight source / scientific role</w:t>
            </w:r>
          </w:p>
        </w:tc>
      </w:tr>
      <w:tr>
        <w:trPr>
          <w:cantSplit/>
        </w:trPr>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densenet169</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12</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12,489,475</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 architecture provenance plus exact-task transfer evidence from Rahman et al.; no located exact-task paper uniquely establishes D169 settings.</w:t>
            </w:r>
          </w:p>
        </w:tc>
      </w:tr>
      <w:tr>
        <w:trPr>
          <w:cantSplit/>
        </w:trPr>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densenet201</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8</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18,098,691</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Rahman et al. directly evaluated DenseNet201 on the exact Normal/Viral/Bacterial task.</w:t>
            </w:r>
          </w:p>
        </w:tc>
      </w:tr>
      <w:tr>
        <w:trPr>
          <w:cantSplit/>
        </w:trPr>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densenet121</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6,956,931</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Kundu et al. (binary ensemble), Arulananth et al. (binary pediatric), and CheXNet provide Partial evidence.</w:t>
            </w:r>
          </w:p>
        </w:tc>
      </w:tr>
      <w:tr>
        <w:trPr>
          <w:cantSplit/>
        </w:trPr>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resnet101</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8</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42,506,307</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Jaiswal et al. uses ResNet101 for CXR localization; the classification settings remain repository-controlled.</w:t>
            </w:r>
          </w:p>
        </w:tc>
      </w:tr>
      <w:tr>
        <w:trPr>
          <w:cantSplit/>
        </w:trPr>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resnet50</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23,514,179</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Bakır et al. supports ResNet feature extraction on the exact task; Jaiswal et al. uses ResNet50 for localization only.</w:t>
            </w:r>
          </w:p>
        </w:tc>
      </w:tr>
      <w:tr>
        <w:trPr>
          <w:cantSplit/>
        </w:trPr>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resnet152</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58,149,955</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 architecture provenance; no supplied exact-task source uniquely establishes ResNet152 settings.</w:t>
            </w:r>
          </w:p>
        </w:tc>
      </w:tr>
      <w:tr>
        <w:trPr>
          <w:cantSplit/>
        </w:trPr>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yolov5_cls</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32</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4,176,323</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Official v7.0 classification checkpoint/head provenance; no supplied pneumonia paper establishes these exact settings.</w:t>
            </w:r>
          </w:p>
        </w:tc>
      </w:tr>
      <w:tr>
        <w:trPr>
          <w:cantSplit/>
        </w:trPr>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yolov8_cls</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32</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1,442,131</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Official v8.3.0 classification checkpoint/head provenance; no formal YOLOv8 paper or supplied pneumonia paper establishes these exact settings.</w:t>
            </w:r>
          </w:p>
        </w:tc>
      </w:tr>
    </w:tbl>
    <w:p>
      <w:pPr>
        <w:spacing w:after="40"/>
      </w:pPr>
    </w:p>
    <w:p>
      <w:r>
        <w:rPr>
          <w:rFonts w:ascii="Arial" w:hAnsi="Arial" w:eastAsia="Arial"/>
          <w:color w:val="000000"/>
          <w:sz w:val="21"/>
        </w:rPr>
        <w:t>Different batch sizes are a cross-architecture limitation because batch-induced gradient noise may differ. The preprocessing ablations avoid this confound within architecture. Native Ultralytics RandomResizedCrop, RandAugment, and random erasing were not invoked only for YOLO; all eight models used the same repository transform contract.</w:t>
      </w:r>
    </w:p>
    <w:p>
      <w:pPr>
        <w:pStyle w:val="Heading2"/>
      </w:pPr>
      <w:r>
        <w:rPr>
          <w:rFonts w:ascii="Arial" w:hAnsi="Arial" w:eastAsia="Arial"/>
          <w:b/>
          <w:color w:val="000000"/>
          <w:sz w:val="26"/>
        </w:rPr>
        <w:t>3.3 Training and validation loss distinction</w:t>
      </w:r>
    </w:p>
    <w:p>
      <w:r>
        <w:rPr>
          <w:rFonts w:ascii="Arial" w:hAnsi="Arial" w:eastAsia="Arial"/>
          <w:color w:val="000000"/>
          <w:sz w:val="21"/>
        </w:rPr>
        <w:t>Training uses balanced class-weighted cross entropy. Saved validation/test loss is unweighted cross entropy. Checkpoints are selected by macro F1, not loss. This distinction was audited and is labeled explicitly in continuation histories and TensorBoard. The focal-loss implementation was corrected before tuning so class weights scale the focal term without distorting the target probability p_t.</w:t>
      </w:r>
    </w:p>
    <w:p>
      <w:r>
        <w:br w:type="page"/>
      </w:r>
    </w:p>
    <w:p>
      <w:pPr>
        <w:pStyle w:val="Heading1"/>
      </w:pPr>
      <w:r>
        <w:rPr>
          <w:rFonts w:ascii="Arial" w:hAnsi="Arial" w:eastAsia="Arial"/>
          <w:b/>
          <w:color w:val="000000"/>
          <w:sz w:val="32"/>
        </w:rPr>
        <w:t>4. Completed Baseline Results (Validation Only)</w:t>
      </w:r>
    </w:p>
    <w:p>
      <w:r>
        <w:rPr>
          <w:rFonts w:ascii="Arial" w:hAnsi="Arial" w:eastAsia="Arial"/>
          <w:color w:val="000000"/>
          <w:sz w:val="21"/>
        </w:rPr>
        <w:t>All eight run directories passed independent checkpoint, hash, prediction-row, metric, confusion-matrix, history, parameter-count, output-shape, and file-size verification. Original TensorBoard files were header-only, but CSV/JSON histories are valid; completed baselines were not rerun merely to populate TensorBoard.</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400"/>
        <w:gridCol w:w="1000"/>
        <w:gridCol w:w="1000"/>
        <w:gridCol w:w="1600"/>
        <w:gridCol w:w="1100"/>
        <w:gridCol w:w="1560"/>
      </w:tblGrid>
      <w:tr>
        <w:trPr>
          <w:cantSplit/>
          <w:tblHeader w:val="true"/>
        </w:trPr>
        <w:tc>
          <w:tcPr>
            <w:tcW w:type="dxa" w:w="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Rank</w:t>
            </w:r>
          </w:p>
        </w:tc>
        <w:tc>
          <w:tcPr>
            <w:tcW w:type="dxa" w:w="2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Run</w:t>
            </w:r>
          </w:p>
        </w:tc>
        <w:tc>
          <w:tcPr>
            <w:tcW w:type="dxa" w:w="1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Accuracy</w:t>
            </w:r>
          </w:p>
        </w:tc>
        <w:tc>
          <w:tcPr>
            <w:tcW w:type="dxa" w:w="1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Macro F1</w:t>
            </w:r>
          </w:p>
        </w:tc>
        <w:tc>
          <w:tcPr>
            <w:tcW w:type="dxa" w:w="1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Recall N/V/B</w:t>
            </w:r>
          </w:p>
        </w:tc>
        <w:tc>
          <w:tcPr>
            <w:tcW w:type="dxa" w:w="1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Best epoch</w:t>
            </w:r>
          </w:p>
        </w:tc>
        <w:tc>
          <w:tcPr>
            <w:tcW w:type="dxa" w:w="15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Parameters</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baseline_densenet169_s42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0.8547</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0.8403</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0.987 / 0.619 / 0.906</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c>
          <w:tcPr>
            <w:tcW w:type="dxa" w:w="1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12,489,475</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baseline_densenet201_s42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0.8421</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0.8387</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0.983 / 0.700 / 0.838</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10</w:t>
            </w:r>
          </w:p>
        </w:tc>
        <w:tc>
          <w:tcPr>
            <w:tcW w:type="dxa" w:w="1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18,098,691</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baseline_densenet121_s42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0.8547</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0.8377</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0.970 / 0.570 / 0.942</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10</w:t>
            </w:r>
          </w:p>
        </w:tc>
        <w:tc>
          <w:tcPr>
            <w:tcW w:type="dxa" w:w="1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6,956,931</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baseline_resnet101_s42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0.8478</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0.8373</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0.992 / 0.637 / 0.879</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9</w:t>
            </w:r>
          </w:p>
        </w:tc>
        <w:tc>
          <w:tcPr>
            <w:tcW w:type="dxa" w:w="1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42,506,307</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baseline_resnet50_s42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0.8467</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0.8369</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0.987 / 0.637 / 0.879</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w:t>
            </w:r>
          </w:p>
        </w:tc>
        <w:tc>
          <w:tcPr>
            <w:tcW w:type="dxa" w:w="1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23,514,179</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baseline_resnet152_s42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0.8432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0.8333</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0.983 / 0.641 / 0.872</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c>
          <w:tcPr>
            <w:tcW w:type="dxa" w:w="1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58,149,955</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7</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baseline_yolov5_cls_s42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0.8146</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0.7947</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0.979 / 0.525 / 0.877</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11</w:t>
            </w:r>
          </w:p>
        </w:tc>
        <w:tc>
          <w:tcPr>
            <w:tcW w:type="dxa" w:w="1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4,176,323</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8</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baseline_yolov8_cls_s42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0.7952</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0.7734</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0.970 / 0.498 / 0.855</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11</w:t>
            </w:r>
          </w:p>
        </w:tc>
        <w:tc>
          <w:tcPr>
            <w:tcW w:type="dxa" w:w="1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1,442,131</w:t>
            </w:r>
          </w:p>
        </w:tc>
      </w:tr>
    </w:tbl>
    <w:p>
      <w:pPr>
        <w:spacing w:after="40"/>
      </w:pPr>
    </w:p>
    <w:p>
      <w:r>
        <w:rPr>
          <w:rFonts w:ascii="Arial" w:hAnsi="Arial" w:eastAsia="Arial"/>
          <w:color w:val="000000"/>
          <w:sz w:val="21"/>
        </w:rPr>
        <w:t>DenseNet169 ranked first at validation macro F1 0.840293. DenseNet201 had the strongest Viral recall at 0.699552. Viral recall was the recurring weak point across all baselines, while Normal recall was consistently high. The small differences among DenseNet/ResNet baselines at one seed did not establish universal superiority; multi-seed evidence was required after final tuning.</w:t>
      </w:r>
    </w:p>
    <w:p>
      <w:r>
        <w:br w:type="page"/>
      </w:r>
    </w:p>
    <w:p>
      <w:pPr>
        <w:pStyle w:val="Heading1"/>
      </w:pPr>
      <w:r>
        <w:rPr>
          <w:rFonts w:ascii="Arial" w:hAnsi="Arial" w:eastAsia="Arial"/>
          <w:b/>
          <w:color w:val="000000"/>
          <w:sz w:val="32"/>
        </w:rPr>
        <w:t>5. Preprocessing Ablation Results</w:t>
      </w:r>
    </w:p>
    <w:p>
      <w:r>
        <w:rPr>
          <w:rFonts w:ascii="Arial" w:hAnsi="Arial" w:eastAsia="Arial"/>
          <w:color w:val="000000"/>
          <w:sz w:val="21"/>
        </w:rPr>
        <w:t>Three completed controls (DenseNet169, DenseNet201, ResNet50) were reused. Nine new runs evaluated CLAHE, global histogram equalization, and exploratory VIRIDIS. Primary selection used validation macro F1 with balanced accuracy, minimum class recall, log loss, size, latency, and run ID as fixed tie-breakers.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0"/>
        <w:gridCol w:w="1550"/>
        <w:gridCol w:w="1100"/>
        <w:gridCol w:w="1300"/>
        <w:gridCol w:w="1750"/>
        <w:gridCol w:w="1400"/>
        <w:gridCol w:w="810"/>
      </w:tblGrid>
      <w:tr>
        <w:trPr>
          <w:cantSplit/>
          <w:tblHeader w:val="true"/>
        </w:trPr>
        <w:tc>
          <w:tcPr>
            <w:tcW w:type="dxa" w:w="14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Architecture</w:t>
            </w:r>
          </w:p>
        </w:tc>
        <w:tc>
          <w:tcPr>
            <w:tcW w:type="dxa" w:w="15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Condition</w:t>
            </w:r>
          </w:p>
        </w:tc>
        <w:tc>
          <w:tcPr>
            <w:tcW w:type="dxa" w:w="1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Macro F1</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Delta vs control</w:t>
            </w:r>
          </w:p>
        </w:tc>
        <w:tc>
          <w:tcPr>
            <w:tcW w:type="dxa" w:w="17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Paired 95% interval</w:t>
            </w:r>
          </w:p>
        </w:tc>
        <w:tc>
          <w:tcPr>
            <w:tcW w:type="dxa" w:w="1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Recall N/V/B</w:t>
            </w:r>
          </w:p>
        </w:tc>
        <w:tc>
          <w:tcPr>
            <w:tcW w:type="dxa" w:w="81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Best epoch</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densenet169</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0.840293</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+0.000000</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[+0.0000, +0.0000]</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0.987/0.619/0.906</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densenet169</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clahe</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0.833828</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-0.006464</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[-0.0293, +0.0174]</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0.983/0.668/0.850</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densenet169</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histogram_equalization</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0.829458</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-0.010834</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[-0.0332, +0.0128]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0.975/0.659/0.853</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densenet169</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pseudo_color</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0.837293</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-0.003000</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[-0.0253, +0.0203]</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0.979/0.646/0.879</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7</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densenet201</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0.838713</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+0.000000</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[+0.0000, +0.0000]</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0.983/0.700/0.838</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10</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densenet201</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clahe</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0.841733</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+0.003021</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[-0.0199, +0.0248]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0.987/0.677/0.867</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densenet201</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histogram_equalization</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0.844714</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+0.006001</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[-0.0176, +0.0289]</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0.983/0.664/0.882</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densenet201</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pseudo_color</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0.837062</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-0.001651</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[-0.0256, +0.0199]</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0.983/0.570/0.935</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resnet50</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baseline</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0.836919</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+0.000000</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[+0.0000, +0.0000]</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0.987/0.637/0.879</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resnet50</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clahe</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0.823620</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-0.013299</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[-0.0357, +0.0080]</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0.975/0.619/0.870</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resnet50</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histogram_equalization</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0.819553</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-0.017365</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[-0.0428, +0.0084]</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0.941/0.713/0.807</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w:t>
            </w:r>
          </w:p>
        </w:tc>
      </w:tr>
      <w:tr>
        <w:trPr>
          <w:cantSplit/>
        </w:trPr>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resnet50</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pseudo_color</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0.838547</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+0.001628</w:t>
            </w:r>
          </w:p>
        </w:tc>
        <w:tc>
          <w:tcPr>
            <w:tcW w:type="dxa" w:w="17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[-0.0227, +0.0270]</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0.979/0.578/0.930</w:t>
            </w:r>
          </w:p>
        </w:tc>
        <w:tc>
          <w:tcPr>
            <w:tcW w:type="dxa" w:w="8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r>
    </w:tbl>
    <w:p>
      <w:pPr>
        <w:spacing w:after="40"/>
      </w:pPr>
    </w:p>
    <w:p>
      <w:pPr>
        <w:pStyle w:val="ListBullet"/>
      </w:pPr>
      <w:r>
        <w:rPr>
          <w:rFonts w:ascii="Arial" w:hAnsi="Arial" w:eastAsia="Arial"/>
          <w:color w:val="000000"/>
          <w:sz w:val="21"/>
        </w:rPr>
        <w:t>densenet169 ranking: baseline_densenet169_s42 &gt; ablation_densenet169_pseudo_color_s42 &gt; ablation_densenet169_clahe_s42 &gt; ablation_densenet169_histogram_equalization_s42</w:t>
      </w:r>
    </w:p>
    <w:p>
      <w:pPr>
        <w:pStyle w:val="ListBullet"/>
      </w:pPr>
      <w:r>
        <w:rPr>
          <w:rFonts w:ascii="Arial" w:hAnsi="Arial" w:eastAsia="Arial"/>
          <w:color w:val="000000"/>
          <w:sz w:val="21"/>
        </w:rPr>
        <w:t>densenet201 ranking: ablation_densenet201_histogram_equalization_s42 &gt; ablation_densenet201_clahe_s42 &gt; baseline_densenet201_s42 &gt; ablation_densenet201_pseudo_color_s42</w:t>
      </w:r>
    </w:p>
    <w:p>
      <w:pPr>
        <w:pStyle w:val="ListBullet"/>
      </w:pPr>
      <w:r>
        <w:rPr>
          <w:rFonts w:ascii="Arial" w:hAnsi="Arial" w:eastAsia="Arial"/>
          <w:color w:val="000000"/>
          <w:sz w:val="21"/>
        </w:rPr>
        <w:t>resnet50 ranking: ablation_resnet50_pseudo_color_s42 &gt; baseline_resnet50_s42 &gt; ablation_resnet50_clahe_s42 &gt; ablation_resnet50_histogram_equalization_s42</w:t>
      </w:r>
    </w:p>
    <w:p>
      <w:r>
        <w:rPr>
          <w:rFonts w:ascii="Arial" w:hAnsi="Arial" w:eastAsia="Arial"/>
          <w:color w:val="000000"/>
          <w:sz w:val="21"/>
        </w:rPr>
        <w:t>The paired class-stratified bootstrap uses 2,000 validation resamples and is descriptive uncertainty on the same selection set, not an independent confirmatory test. VIRIDIS remains exploratory regardless of rank.</w:t>
      </w:r>
    </w:p>
    <w:p>
      <w:r>
        <w:br w:type="page"/>
      </w:r>
    </w:p>
    <w:p>
      <w:pPr>
        <w:pStyle w:val="Heading1"/>
      </w:pPr>
      <w:r>
        <w:rPr>
          <w:rFonts w:ascii="Arial" w:hAnsi="Arial" w:eastAsia="Arial"/>
          <w:b/>
          <w:color w:val="000000"/>
          <w:sz w:val="32"/>
        </w:rPr>
        <w:t>6. Bounded Hyperparameter Tuning</w:t>
      </w:r>
    </w:p>
    <w:p>
      <w:r>
        <w:rPr>
          <w:rFonts w:ascii="Arial" w:hAnsi="Arial" w:eastAsia="Arial"/>
          <w:color w:val="000000"/>
          <w:sz w:val="21"/>
        </w:rPr>
        <w:t>Three validation-only Optuna TPE studies were run on the validation-best preprocessing parent for each preregistered representative: DenseNet169, DenseNet201, and ResNet50. Each study used four trials at an equal six-epoch budget. Trial 0 was the exact parent setting as a preregistered control. Input size, batch size, weights, preprocessing, and seed remained fixed.</w:t>
      </w:r>
    </w:p>
    <w:p>
      <w:r>
        <w:rPr>
          <w:rFonts w:ascii="Arial" w:hAnsi="Arial" w:eastAsia="Arial"/>
          <w:color w:val="000000"/>
          <w:sz w:val="21"/>
        </w:rPr>
        <w:t>Search dimensions were optimizer, conditional learning rate, weight decay, scheduler, cross entropy versus corrected focal loss, balanced versus unweighted loss, label smoothing, and conservative versus no augmentation. Dropout, freezing, input size, and batch size were not mixed into the small common search.</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00"/>
        <w:gridCol w:w="1700"/>
        <w:gridCol w:w="900"/>
        <w:gridCol w:w="3100"/>
        <w:gridCol w:w="900"/>
        <w:gridCol w:w="900"/>
        <w:gridCol w:w="760"/>
      </w:tblGrid>
      <w:tr>
        <w:trPr>
          <w:cantSplit/>
          <w:tblHeader w:val="true"/>
        </w:trPr>
        <w:tc>
          <w:tcPr>
            <w:tcW w:type="dxa" w:w="1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Study / trial</w:t>
            </w:r>
          </w:p>
        </w:tc>
        <w:tc>
          <w:tcPr>
            <w:tcW w:type="dxa" w:w="1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Parent</w:t>
            </w:r>
          </w:p>
        </w:tc>
        <w:tc>
          <w:tcPr>
            <w:tcW w:type="dxa" w:w="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Status</w:t>
            </w:r>
          </w:p>
        </w:tc>
        <w:tc>
          <w:tcPr>
            <w:tcW w:type="dxa" w:w="3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Parameters</w:t>
            </w:r>
          </w:p>
        </w:tc>
        <w:tc>
          <w:tcPr>
            <w:tcW w:type="dxa" w:w="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Macro F1</w:t>
            </w:r>
          </w:p>
        </w:tc>
        <w:tc>
          <w:tcPr>
            <w:tcW w:type="dxa" w:w="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Balanced acc.</w:t>
            </w:r>
          </w:p>
        </w:tc>
        <w:tc>
          <w:tcPr>
            <w:tcW w:type="dxa" w:w="7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Min recall</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tuning_top1:0</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ablation_densenet201_histogram_equalization_s42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"conservative", "class_weighting": "balanced", "label_smoothing": 0.0, "learning_rate_adamw": 0.0001, "loss": "cross_entropy", "optimizer": "adamw", "scheduler": "reduce_on_plateau", "weight_decay": 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0.844714031735541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0.8428140016637786</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0.6636771300448431</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tuning_top1:1</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ablation_densenet201_histogram_equalization_s42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"none", "class_weighting": "none", "label_smoothing": 0.0, "learning_rate_sgd": 0.001205712628744377, "loss": "focal", "optimizer": "sgd", "scheduler": "cosine", "weight_decay": 2.9375384576328313e-06}</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0.812990025423075</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0.8071742480478115</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0.515695067264574</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tuning_top1:2</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ablation_densenet201_histogram_equalization_s42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"none", "class_weighting": "none", "label_smoothing": 0.05, "learning_rate_sgd": 0.0002814509271606064, "loss": "focal", "optimizer": "sgd", "scheduler": "reduce_on_plateau", "weight_decay": 7.4763120622522945e-06}</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0.799889695991391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0.7997572155500144</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0.6322869955156951</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tuning_top1:3</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ablation_densenet201_histogram_equalization_s42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"conservative", "class_weighting": "balanced", "label_smoothing": 0.0, "learning_rate_adamw": 0.0001086355964087569, "loss": "cross_entropy", "optimizer": "adamw", "scheduler": "reduce_on_plateau", "weight_decay": 0.0006264278041381329}</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0.8316711403341853</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0.8318884728985152</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0.6502242152466368</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tuning_top2:0</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baseline_densenet169_s42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"conservative", "class_weighting": "balanced", "label_smoothing": 0.0, "learning_rate_adamw": 0.0001, "loss": "cross_entropy", "optimizer": "adamw", "scheduler": "reduce_on_plateau", "weight_decay": 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0.8402925204293371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0.837324318106221</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0.6188340807174888</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tuning_top2:1</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baseline_densenet169_s42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"none", "class_weighting": "none", "label_smoothing": 0.0, "learning_rate_sgd": 0.001205712628744377, "loss": "focal", "optimizer": "sgd", "scheduler": "cosine", "weight_decay": 2.9375384576328313e-06}</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0.8089495099273433</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0.8019392683304271</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0.484304932735426</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tuning_top2:2</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baseline_densenet169_s42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"none", "class_weighting": "none", "label_smoothing": 0.05, "learning_rate_sgd": 0.0002814509271606064, "loss": "focal", "optimizer": "sgd", "scheduler": "reduce_on_plateau", "weight_decay": 7.4763120622522945e-06}</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0.8032148685899752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0.7978317861434713</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0.5112107623318386</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tuning_top2:3</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baseline_densenet169_s42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"conservative", "class_weighting": "balanced", "label_smoothing": 0.0, "learning_rate_adamw": 0.0001086355964087569, "loss": "cross_entropy", "optimizer": "adamw", "scheduler": "reduce_on_plateau", "weight_decay": 0.0006264278041381329}</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0.8300251765872434</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0.8272039423200234</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0.6053811659192825</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tuning_top3:0</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ablation_resnet50_pseudo_color_s42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"conservative", "class_weighting": "balanced", "label_smoothing": 0.0, "learning_rate_adamw": 0.0001, "loss": "cross_entropy", "optimizer": "adamw", "scheduler": "reduce_on_plateau", "weight_decay": 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0.8385466291362813</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0.8291099935768748</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0.57847533632287</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tuning_top3:1</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ablation_resnet50_pseudo_color_s42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"none", "class_weighting": "none", "label_smoothing": 0.0, "learning_rate_sgd": 0.001205712628744377, "loss": "focal", "optimizer": "sgd", "scheduler": "cosine", "weight_decay": 2.9375384576328313e-06}</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0.7860463965151318</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0.7800747740640285</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0.4349775784753363</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tuning_top3:2</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ablation_resnet50_pseudo_color_s42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"none", "class_weighting": "none", "label_smoothing": 0.05, "learning_rate_sgd": 0.0002814509271606064, "loss": "focal", "optimizer": "sgd", "scheduler": "reduce_on_plateau", "weight_decay": 7.4763120622522945e-06}</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0.7809039091522334</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0.7723528099276821</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0.4304932735426009</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tuning_top3:3</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ablation_resnet50_pseudo_color_s42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w:t>
            </w:r>
          </w:p>
        </w:tc>
        <w:tc>
          <w:tcPr>
            <w:tcW w:type="dxa" w:w="3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{"augmentation": "conservative", "class_weighting": "balanced", "label_smoothing": 0.0, "learning_rate_adamw": 0.0001086355964087569, "loss": "cross_entropy", "optimizer": "adamw", "scheduler": "reduce_on_plateau", "weight_decay": 0.0006264278041381329}</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0.8199287825636011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0.81829278135588</w:t>
            </w:r>
          </w:p>
        </w:tc>
        <w:tc>
          <w:tcPr>
            <w:tcW w:type="dxa" w:w="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0.6233183856502242</w:t>
            </w:r>
          </w:p>
        </w:tc>
      </w:tr>
    </w:tbl>
    <w:p>
      <w:pPr>
        <w:spacing w:after="40"/>
      </w:pPr>
    </w:p>
    <w:p>
      <w:r>
        <w:rPr>
          <w:rFonts w:ascii="Arial" w:hAnsi="Arial" w:eastAsia="Arial"/>
          <w:color w:val="000000"/>
          <w:sz w:val="21"/>
        </w:rPr>
        <w:t>All completed, failed, or interrupted trial states were retained in SQLite plus CSV/JSON exports. The locked test was not accessible to the tuning process.</w:t>
      </w:r>
    </w:p>
    <w:p>
      <w:r>
        <w:br w:type="page"/>
      </w:r>
    </w:p>
    <w:p>
      <w:pPr>
        <w:pStyle w:val="Heading1"/>
      </w:pPr>
      <w:r>
        <w:rPr>
          <w:rFonts w:ascii="Arial" w:hAnsi="Arial" w:eastAsia="Arial"/>
          <w:b/>
          <w:color w:val="000000"/>
          <w:sz w:val="32"/>
        </w:rPr>
        <w:t>7. Multi-Seed Robustness and Single Locked-Test Result</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300"/>
        <w:gridCol w:w="1150"/>
        <w:gridCol w:w="1200"/>
        <w:gridCol w:w="1000"/>
        <w:gridCol w:w="1850"/>
        <w:gridCol w:w="1160"/>
      </w:tblGrid>
      <w:tr>
        <w:trPr>
          <w:cantSplit/>
          <w:tblHeader w:val="true"/>
        </w:trPr>
        <w:tc>
          <w:tcPr>
            <w:tcW w:type="dxa" w:w="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Seed</w:t>
            </w:r>
          </w:p>
        </w:tc>
        <w:tc>
          <w:tcPr>
            <w:tcW w:type="dxa" w:w="2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Run</w:t>
            </w:r>
          </w:p>
        </w:tc>
        <w:tc>
          <w:tcPr>
            <w:tcW w:type="dxa" w:w="11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Validation accuracy</w:t>
            </w:r>
          </w:p>
        </w:tc>
        <w:tc>
          <w:tcPr>
            <w:tcW w:type="dxa" w:w="1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Balanced accuracy</w:t>
            </w:r>
          </w:p>
        </w:tc>
        <w:tc>
          <w:tcPr>
            <w:tcW w:type="dxa" w:w="1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Macro F1</w:t>
            </w:r>
          </w:p>
        </w:tc>
        <w:tc>
          <w:tcPr>
            <w:tcW w:type="dxa" w:w="18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Recall N/V/B</w:t>
            </w:r>
          </w:p>
        </w:tc>
        <w:tc>
          <w:tcPr>
            <w:tcW w:type="dxa" w:w="11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Best epoch</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42</w:t>
            </w:r>
          </w:p>
        </w:tc>
        <w:tc>
          <w:tcPr>
            <w:tcW w:type="dxa" w:w="2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final_selected_s42</w:t>
            </w:r>
          </w:p>
        </w:tc>
        <w:tc>
          <w:tcPr>
            <w:tcW w:type="dxa" w:w="11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0.8535</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0.8428</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0.8447</w:t>
            </w:r>
          </w:p>
        </w:tc>
        <w:tc>
          <w:tcPr>
            <w:tcW w:type="dxa" w:w="1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0.983/0.664/0.882</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123</w:t>
            </w:r>
          </w:p>
        </w:tc>
        <w:tc>
          <w:tcPr>
            <w:tcW w:type="dxa" w:w="2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final_selected_s123</w:t>
            </w:r>
          </w:p>
        </w:tc>
        <w:tc>
          <w:tcPr>
            <w:tcW w:type="dxa" w:w="11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0.8455</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0.8325</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0.8366</w:t>
            </w:r>
          </w:p>
        </w:tc>
        <w:tc>
          <w:tcPr>
            <w:tcW w:type="dxa" w:w="1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0.975/0.641/0.882</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2026</w:t>
            </w:r>
          </w:p>
        </w:tc>
        <w:tc>
          <w:tcPr>
            <w:tcW w:type="dxa" w:w="2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final_selected_s2026</w:t>
            </w:r>
          </w:p>
        </w:tc>
        <w:tc>
          <w:tcPr>
            <w:tcW w:type="dxa" w:w="11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0.8455</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0.8325</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0.8355</w:t>
            </w:r>
          </w:p>
        </w:tc>
        <w:tc>
          <w:tcPr>
            <w:tcW w:type="dxa" w:w="1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0.975/0.641/0.882</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w:t>
            </w:r>
          </w:p>
        </w:tc>
      </w:tr>
    </w:tbl>
    <w:p>
      <w:pPr>
        <w:spacing w:after="40"/>
      </w:pPr>
    </w:p>
    <w:p>
      <w:r>
        <w:rPr>
          <w:rFonts w:ascii="Arial" w:hAnsi="Arial" w:eastAsia="Arial"/>
          <w:color w:val="000000"/>
          <w:sz w:val="21"/>
        </w:rPr>
        <w:t>Validation macro F1 mean = 0.838948; sample standard deviation = 0.005024. Seed 42 was predeclared as the representative checkpoint policy and was not selected using test performance.</w:t>
      </w:r>
    </w:p>
    <w:p>
      <w:pPr>
        <w:pStyle w:val="Heading2"/>
      </w:pPr>
      <w:r>
        <w:rPr>
          <w:rFonts w:ascii="Arial" w:hAnsi="Arial" w:eastAsia="Arial"/>
          <w:b/>
          <w:color w:val="000000"/>
          <w:sz w:val="26"/>
        </w:rPr>
        <w:t>7.1 Locked-test metrics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Metric</w:t>
            </w:r>
          </w:p>
        </w:tc>
        <w:tc>
          <w:tcPr>
            <w:tcW w:type="dxa" w:w="6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Value</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Accuracy</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0.798627</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Balanced accuracy</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0.785812</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Macro precision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0.793321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Macro recall</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0.785812</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Macro F1</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0.788772</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Weighted F1</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0.795811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ROC AUC OVR macro</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0.889088</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PR AUC macro</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0.798701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Log loss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0.630742</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ECE</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0.100402</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Brier score</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0.313100</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100"/>
        <w:gridCol w:w="1000"/>
        <w:gridCol w:w="1500"/>
        <w:gridCol w:w="950"/>
        <w:gridCol w:w="1100"/>
        <w:gridCol w:w="1100"/>
        <w:gridCol w:w="1110"/>
      </w:tblGrid>
      <w:tr>
        <w:trPr>
          <w:cantSplit/>
          <w:tblHeader w:val="true"/>
        </w:trPr>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Class</w:t>
            </w:r>
          </w:p>
        </w:tc>
        <w:tc>
          <w:tcPr>
            <w:tcW w:type="dxa" w:w="1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Precision</w:t>
            </w:r>
          </w:p>
        </w:tc>
        <w:tc>
          <w:tcPr>
            <w:tcW w:type="dxa" w:w="1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Recall</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Specificity</w:t>
            </w:r>
          </w:p>
        </w:tc>
        <w:tc>
          <w:tcPr>
            <w:tcW w:type="dxa" w:w="9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F1</w:t>
            </w:r>
          </w:p>
        </w:tc>
        <w:tc>
          <w:tcPr>
            <w:tcW w:type="dxa" w:w="1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ROC AUC</w:t>
            </w:r>
          </w:p>
        </w:tc>
        <w:tc>
          <w:tcPr>
            <w:tcW w:type="dxa" w:w="1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PR AUC</w:t>
            </w:r>
          </w:p>
        </w:tc>
        <w:tc>
          <w:tcPr>
            <w:tcW w:type="dxa" w:w="111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Support</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Normal</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0.9746</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0.9705</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0.9906</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0.9725</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0.9981</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0.9959</w:t>
            </w:r>
          </w:p>
        </w:tc>
        <w:tc>
          <w:tcPr>
            <w:tcW w:type="dxa" w:w="11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237</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Viral</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0.6200</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0.5561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0.8833</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0.5863</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0.7892</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0.5878</w:t>
            </w:r>
          </w:p>
        </w:tc>
        <w:tc>
          <w:tcPr>
            <w:tcW w:type="dxa" w:w="11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223</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Bacterial</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0.7854</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0.8309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0.7957</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0.8075</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0.8799</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0.8124</w:t>
            </w:r>
          </w:p>
        </w:tc>
        <w:tc>
          <w:tcPr>
            <w:tcW w:type="dxa" w:w="11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414</w:t>
            </w:r>
          </w:p>
        </w:tc>
      </w:tr>
    </w:tbl>
    <w:p>
      <w:pPr>
        <w:spacing w:after="40"/>
      </w:pPr>
    </w:p>
    <w:p>
      <w:r>
        <w:rPr>
          <w:rFonts w:ascii="Arial" w:hAnsi="Arial" w:eastAsia="Arial"/>
          <w:color w:val="000000"/>
          <w:sz w:val="21"/>
        </w:rPr>
        <w:t>Frozen selection file: model/results/final_selection.json. Selected run: final_selected_s42. Selection status after evaluation: locked_test_evaluated. No retraining or configuration change was permitted after observing test metrics.</w:t>
      </w:r>
    </w:p>
    <w:p>
      <w:pPr>
        <w:keepNext/>
        <w:jc w:val="center"/>
      </w:pPr>
      <w:r>
        <w:drawing>
          <wp:inline xmlns:a="http://schemas.openxmlformats.org/drawingml/2006/main" xmlns:pic="http://schemas.openxmlformats.org/drawingml/2006/picture">
            <wp:extent cx="4937760" cy="4279392"/>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937760" cy="4279392"/>
                    </a:xfrm>
                    <a:prstGeom prst="rect"/>
                  </pic:spPr>
                </pic:pic>
              </a:graphicData>
            </a:graphic>
          </wp:inline>
        </w:drawing>
      </w:r>
    </w:p>
    <w:p>
      <w:pPr>
        <w:pStyle w:val="Caption"/>
        <w:jc w:val="center"/>
      </w:pPr>
      <w:r>
        <w:rPr>
          <w:rFonts w:ascii="Arial" w:hAnsi="Arial" w:eastAsia="Arial"/>
          <w:color w:val="000000"/>
          <w:sz w:val="17"/>
        </w:rPr>
        <w:t>Final locked-test confusion matrix.</w:t>
      </w:r>
    </w:p>
    <w:p>
      <w:pPr>
        <w:pStyle w:val="Heading2"/>
      </w:pPr>
      <w:r>
        <w:rPr>
          <w:rFonts w:ascii="Arial" w:hAnsi="Arial" w:eastAsia="Arial"/>
          <w:b/>
          <w:color w:val="000000"/>
          <w:sz w:val="26"/>
        </w:rPr>
        <w:t>7.2 Final configuration table for all supported architectures</w:t>
      </w:r>
    </w:p>
    <w:p>
      <w:r>
        <w:rPr>
          <w:rFonts w:ascii="Arial" w:hAnsi="Arial" w:eastAsia="Arial"/>
          <w:color w:val="000000"/>
          <w:sz w:val="21"/>
        </w:rPr>
        <w:t>The required wide table is split into three continuation parts so every field remains readable. Rows not selected for the terminal experiment retain their verified completed-baseline configuration; the selected row reports the frozen tuned configuration actually used for the three-seed study and test.</w:t>
      </w:r>
    </w:p>
    <w:p>
      <w:pPr>
        <w:pStyle w:val="Heading3"/>
      </w:pPr>
      <w:r>
        <w:rPr>
          <w:rFonts w:ascii="Arial" w:hAnsi="Arial" w:eastAsia="Arial"/>
          <w:b/>
          <w:color w:val="000000"/>
          <w:sz w:val="23"/>
        </w:rPr>
        <w:t>Part A - identity, inputs, weights, and status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00"/>
        <w:gridCol w:w="2600"/>
        <w:gridCol w:w="850"/>
        <w:gridCol w:w="2100"/>
        <w:gridCol w:w="800"/>
        <w:gridCol w:w="1910"/>
      </w:tblGrid>
      <w:tr>
        <w:trPr>
          <w:cantSplit/>
          <w:tblHeader w:val="true"/>
        </w:trPr>
        <w:tc>
          <w:tcPr>
            <w:tcW w:type="dxa" w:w="1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Model</w:t>
            </w:r>
          </w:p>
        </w:tc>
        <w:tc>
          <w:tcPr>
            <w:tcW w:type="dxa" w:w="2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Exact Implementation</w:t>
            </w:r>
          </w:p>
        </w:tc>
        <w:tc>
          <w:tcPr>
            <w:tcW w:type="dxa" w:w="8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Input Size</w:t>
            </w:r>
          </w:p>
        </w:tc>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Pretrained Weights</w:t>
            </w:r>
          </w:p>
        </w:tc>
        <w:tc>
          <w:tcPr>
            <w:tcW w:type="dxa" w:w="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Batch Size</w:t>
            </w:r>
          </w:p>
        </w:tc>
        <w:tc>
          <w:tcPr>
            <w:tcW w:type="dxa" w:w="191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3"/>
              </w:rPr>
              <w:t>Final Status</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densenet169</w:t>
            </w:r>
          </w:p>
        </w:tc>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torchvision.models.densenet169; classifier Linear(...,3)</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224</w:t>
            </w:r>
          </w:p>
        </w:tc>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torchvision::DenseNet169_Weights.DEFAULT</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12</w:t>
            </w:r>
          </w:p>
        </w:tc>
        <w:tc>
          <w:tcPr>
            <w:tcW w:type="dxa" w:w="1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Baseline + ablation + equal tuning; not final</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densenet201</w:t>
            </w:r>
          </w:p>
        </w:tc>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torchvision.models.densenet201; classifier Linear(...,3)</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224</w:t>
            </w:r>
          </w:p>
        </w:tc>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torchvision::DenseNet201_Weights.DEFAULT</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8</w:t>
            </w:r>
          </w:p>
        </w:tc>
        <w:tc>
          <w:tcPr>
            <w:tcW w:type="dxa" w:w="1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Final selected; tuned; three-seed retrain; locked test</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densenet121</w:t>
            </w:r>
          </w:p>
        </w:tc>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torchvision.models.densenet121; classifier Linear(...,3)</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224</w:t>
            </w:r>
          </w:p>
        </w:tc>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torchvision::DenseNet121_Weights.DEFAULT</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16</w:t>
            </w:r>
          </w:p>
        </w:tc>
        <w:tc>
          <w:tcPr>
            <w:tcW w:type="dxa" w:w="1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 baseline; outside bounded final tuning</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resnet101</w:t>
            </w:r>
          </w:p>
        </w:tc>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torchvision.models.resnet101; fc Linear(...,3)</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224</w:t>
            </w:r>
          </w:p>
        </w:tc>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torchvision::ResNet101_Weights.DEFAULT</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8</w:t>
            </w:r>
          </w:p>
        </w:tc>
        <w:tc>
          <w:tcPr>
            <w:tcW w:type="dxa" w:w="1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 baseline; outside bounded final tuning</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resnet50</w:t>
            </w:r>
          </w:p>
        </w:tc>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torchvision.models.resnet50; fc Linear(...,3)</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224</w:t>
            </w:r>
          </w:p>
        </w:tc>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torchvision::ResNet50_Weights.DEFAULT</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16</w:t>
            </w:r>
          </w:p>
        </w:tc>
        <w:tc>
          <w:tcPr>
            <w:tcW w:type="dxa" w:w="1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Baseline + ablation + equal tuning; not final</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resnet152</w:t>
            </w:r>
          </w:p>
        </w:tc>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torchvision.models.resnet152; fc Linear(...,3)</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224</w:t>
            </w:r>
          </w:p>
        </w:tc>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torchvision::ResNet152_Weights.DEFAULT</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6</w:t>
            </w:r>
          </w:p>
        </w:tc>
        <w:tc>
          <w:tcPr>
            <w:tcW w:type="dxa" w:w="1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 baseline; outside bounded final tuning</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yolov5_cls</w:t>
            </w:r>
          </w:p>
        </w:tc>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Ultralytics YOLOv5s-cls v7.0 + verified logits adapter; Classify Linear(...,3)</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224</w:t>
            </w:r>
          </w:p>
        </w:tc>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Ultralytics YOLOv5 v7.0 release::yolov5s-cls-v7.0.pt</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32</w:t>
            </w:r>
          </w:p>
        </w:tc>
        <w:tc>
          <w:tcPr>
            <w:tcW w:type="dxa" w:w="1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 baseline; outside bounded final tuning</w:t>
            </w:r>
          </w:p>
        </w:tc>
      </w:tr>
      <w:tr>
        <w:trPr>
          <w:cantSplit/>
        </w:trPr>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yolov8_cls</w:t>
            </w:r>
          </w:p>
        </w:tc>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Ultralytics YOLOv8n-cls v8.3.0 + verified logits adapter; Classify Linear(...,3)</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224</w:t>
            </w:r>
          </w:p>
        </w:tc>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Ultralytics v8.3.0 asset::yolov8n-cls-v8.3.0.pt</w:t>
            </w:r>
          </w:p>
        </w:tc>
        <w:tc>
          <w:tcPr>
            <w:tcW w:type="dxa" w:w="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32</w:t>
            </w:r>
          </w:p>
        </w:tc>
        <w:tc>
          <w:tcPr>
            <w:tcW w:type="dxa" w:w="1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3"/>
              </w:rPr>
              <w:t>Completed baseline; outside bounded final tuning</w:t>
            </w:r>
          </w:p>
        </w:tc>
      </w:tr>
    </w:tbl>
    <w:p>
      <w:pPr>
        <w:spacing w:after="40"/>
      </w:pPr>
    </w:p>
    <w:p>
      <w:pPr>
        <w:pStyle w:val="Heading3"/>
      </w:pPr>
      <w:r>
        <w:rPr>
          <w:rFonts w:ascii="Arial" w:hAnsi="Arial" w:eastAsia="Arial"/>
          <w:b/>
          <w:color w:val="000000"/>
          <w:sz w:val="23"/>
        </w:rPr>
        <w:t>Part B - optimization and fine-tuning</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50"/>
        <w:gridCol w:w="850"/>
        <w:gridCol w:w="850"/>
        <w:gridCol w:w="850"/>
        <w:gridCol w:w="900"/>
        <w:gridCol w:w="700"/>
        <w:gridCol w:w="1200"/>
        <w:gridCol w:w="1500"/>
        <w:gridCol w:w="1460"/>
      </w:tblGrid>
      <w:tr>
        <w:trPr>
          <w:cantSplit/>
          <w:tblHeader w:val="true"/>
        </w:trPr>
        <w:tc>
          <w:tcPr>
            <w:tcW w:type="dxa" w:w="10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Model</w:t>
            </w:r>
          </w:p>
        </w:tc>
        <w:tc>
          <w:tcPr>
            <w:tcW w:type="dxa" w:w="8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Optimizer</w:t>
            </w:r>
          </w:p>
        </w:tc>
        <w:tc>
          <w:tcPr>
            <w:tcW w:type="dxa" w:w="8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Backbone LR</w:t>
            </w:r>
          </w:p>
        </w:tc>
        <w:tc>
          <w:tcPr>
            <w:tcW w:type="dxa" w:w="8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Head LR</w:t>
            </w:r>
          </w:p>
        </w:tc>
        <w:tc>
          <w:tcPr>
            <w:tcW w:type="dxa" w:w="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Weight Decay</w:t>
            </w:r>
          </w:p>
        </w:tc>
        <w:tc>
          <w:tcPr>
            <w:tcW w:type="dxa" w:w="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Epoch Limit</w:t>
            </w:r>
          </w:p>
        </w:tc>
        <w:tc>
          <w:tcPr>
            <w:tcW w:type="dxa" w:w="1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Scheduler</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Freeze Strategy</w:t>
            </w:r>
          </w:p>
        </w:tc>
        <w:tc>
          <w:tcPr>
            <w:tcW w:type="dxa" w:w="14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Dropout</w:t>
            </w:r>
          </w:p>
        </w:tc>
      </w:tr>
      <w:tr>
        <w:trPr>
          <w:cantSplit/>
        </w:trPr>
        <w:tc>
          <w:tcPr>
            <w:tcW w:type="dxa" w:w="10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densenet169</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ADAMW</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reduce_on_plateau</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Full-network fine-tuning</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 project-level override; architecture default</w:t>
            </w:r>
          </w:p>
        </w:tc>
      </w:tr>
      <w:tr>
        <w:trPr>
          <w:cantSplit/>
        </w:trPr>
        <w:tc>
          <w:tcPr>
            <w:tcW w:type="dxa" w:w="10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densenet201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ADAMW</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reduce_on_plateau</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Full-network fine-tuning</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 project-level override; architecture default</w:t>
            </w:r>
          </w:p>
        </w:tc>
      </w:tr>
      <w:tr>
        <w:trPr>
          <w:cantSplit/>
        </w:trPr>
        <w:tc>
          <w:tcPr>
            <w:tcW w:type="dxa" w:w="10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densenet121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ADAMW</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reduce_on_plateau</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Full-network fine-tuning</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 project-level override; architecture default</w:t>
            </w:r>
          </w:p>
        </w:tc>
      </w:tr>
      <w:tr>
        <w:trPr>
          <w:cantSplit/>
        </w:trPr>
        <w:tc>
          <w:tcPr>
            <w:tcW w:type="dxa" w:w="10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resnet101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ADAMW</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reduce_on_plateau</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Full-network fine-tuning</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 project-level override; architecture default</w:t>
            </w:r>
          </w:p>
        </w:tc>
      </w:tr>
      <w:tr>
        <w:trPr>
          <w:cantSplit/>
        </w:trPr>
        <w:tc>
          <w:tcPr>
            <w:tcW w:type="dxa" w:w="10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resnet50</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ADAMW</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reduce_on_plateau</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Full-network fine-tuning</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 project-level override; architecture default</w:t>
            </w:r>
          </w:p>
        </w:tc>
      </w:tr>
      <w:tr>
        <w:trPr>
          <w:cantSplit/>
        </w:trPr>
        <w:tc>
          <w:tcPr>
            <w:tcW w:type="dxa" w:w="10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resnet152</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ADAMW</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reduce_on_plateau</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Full-network fine-tuning</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 project-level override; architecture default</w:t>
            </w:r>
          </w:p>
        </w:tc>
      </w:tr>
      <w:tr>
        <w:trPr>
          <w:cantSplit/>
        </w:trPr>
        <w:tc>
          <w:tcPr>
            <w:tcW w:type="dxa" w:w="10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yolov5_cls</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ADAMW</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reduce_on_plateau</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Full-network fine-tuning</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 project-level override; architecture default</w:t>
            </w:r>
          </w:p>
        </w:tc>
      </w:tr>
      <w:tr>
        <w:trPr>
          <w:cantSplit/>
        </w:trPr>
        <w:tc>
          <w:tcPr>
            <w:tcW w:type="dxa" w:w="10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yolov8_cls</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ADAMW</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8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0.0001</w:t>
            </w:r>
          </w:p>
        </w:tc>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reduce_on_plateau</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Full-network fine-tuning</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 project-level override; architecture default</w:t>
            </w:r>
          </w:p>
        </w:tc>
      </w:tr>
    </w:tbl>
    <w:p>
      <w:pPr>
        <w:spacing w:after="40"/>
      </w:pPr>
    </w:p>
    <w:p>
      <w:pPr>
        <w:pStyle w:val="Heading3"/>
      </w:pPr>
      <w:r>
        <w:rPr>
          <w:rFonts w:ascii="Arial" w:hAnsi="Arial" w:eastAsia="Arial"/>
          <w:b/>
          <w:color w:val="000000"/>
          <w:sz w:val="23"/>
        </w:rPr>
        <w:t>Part C - objective, augmentation, preprocessing, and evidence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0"/>
        <w:gridCol w:w="900"/>
        <w:gridCol w:w="1100"/>
        <w:gridCol w:w="1000"/>
        <w:gridCol w:w="1600"/>
        <w:gridCol w:w="1100"/>
        <w:gridCol w:w="1250"/>
        <w:gridCol w:w="1460"/>
      </w:tblGrid>
      <w:tr>
        <w:trPr>
          <w:cantSplit/>
          <w:tblHeader w:val="true"/>
        </w:trPr>
        <w:tc>
          <w:tcPr>
            <w:tcW w:type="dxa" w:w="9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Model</w:t>
            </w:r>
          </w:p>
        </w:tc>
        <w:tc>
          <w:tcPr>
            <w:tcW w:type="dxa" w:w="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Label Smoothing</w:t>
            </w:r>
          </w:p>
        </w:tc>
        <w:tc>
          <w:tcPr>
            <w:tcW w:type="dxa" w:w="1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Loss</w:t>
            </w:r>
          </w:p>
        </w:tc>
        <w:tc>
          <w:tcPr>
            <w:tcW w:type="dxa" w:w="1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Balancing</w:t>
            </w:r>
          </w:p>
        </w:tc>
        <w:tc>
          <w:tcPr>
            <w:tcW w:type="dxa" w:w="1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Augmentation</w:t>
            </w:r>
          </w:p>
        </w:tc>
        <w:tc>
          <w:tcPr>
            <w:tcW w:type="dxa" w:w="1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Preprocessing</w:t>
            </w:r>
          </w:p>
        </w:tc>
        <w:tc>
          <w:tcPr>
            <w:tcW w:type="dxa" w:w="12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Selection Metric</w:t>
            </w:r>
          </w:p>
        </w:tc>
        <w:tc>
          <w:tcPr>
            <w:tcW w:type="dxa" w:w="14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Source Basis</w:t>
            </w:r>
          </w:p>
        </w:tc>
      </w:tr>
      <w:tr>
        <w:trPr>
          <w:cantSplit/>
        </w:trPr>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densenet169</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Cross entropy</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balanced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flip p=0.5; rotation +/-5.0 deg</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baseline</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Validation macro F1</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DenseNet architecture provenance plus exact-task transfer evidence from Rahman et al.; no located exact-task paper uniquely establishes D169 settings.</w:t>
            </w:r>
          </w:p>
        </w:tc>
      </w:tr>
      <w:tr>
        <w:trPr>
          <w:cantSplit/>
        </w:trPr>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densenet201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Cross entropy</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balanced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flip p=0.5; rotation +/-5.0 deg</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histogram_equalization</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Validation macro F1</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Rahman et al. directly evaluated DenseNet201 on the exact Normal/Viral/Bacterial task.</w:t>
            </w:r>
          </w:p>
        </w:tc>
      </w:tr>
      <w:tr>
        <w:trPr>
          <w:cantSplit/>
        </w:trPr>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densenet121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Cross entropy</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balanced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flip p=0.5; rotation +/-5.0 deg</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baseline</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Validation macro F1</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Kundu et al. (binary ensemble), Arulananth et al. (binary pediatric), and CheXNet provide Partial evidence.</w:t>
            </w:r>
          </w:p>
        </w:tc>
      </w:tr>
      <w:tr>
        <w:trPr>
          <w:cantSplit/>
        </w:trPr>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resnet101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Cross entropy</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balanced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flip p=0.5; rotation +/-5.0 deg</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baseline</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Validation macro F1</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Jaiswal et al. uses ResNet101 for CXR localization; the classification settings remain repository-controlled.</w:t>
            </w:r>
          </w:p>
        </w:tc>
      </w:tr>
      <w:tr>
        <w:trPr>
          <w:cantSplit/>
        </w:trPr>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resnet50</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Cross entropy</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balanced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flip p=0.5; rotation +/-5.0 deg</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baseline</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Validation macro F1</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Bakır et al. supports ResNet feature extraction on the exact task; Jaiswal et al. uses ResNet50 for localization only.</w:t>
            </w:r>
          </w:p>
        </w:tc>
      </w:tr>
      <w:tr>
        <w:trPr>
          <w:cantSplit/>
        </w:trPr>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resnet152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Cross entropy</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balanced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flip p=0.5; rotation +/-5.0 deg</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baseline</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Validation macro F1</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ResNet architecture provenance; no supplied exact-task source uniquely establishes ResNet152 settings.</w:t>
            </w:r>
          </w:p>
        </w:tc>
      </w:tr>
      <w:tr>
        <w:trPr>
          <w:cantSplit/>
        </w:trPr>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yolov5_cls</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Cross entropy</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balanced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flip p=0.5; rotation +/-5.0 deg</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baseline</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Validation macro F1</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Official v7.0 classification checkpoint/head provenance; no supplied pneumonia paper establishes these exact settings.</w:t>
            </w:r>
          </w:p>
        </w:tc>
      </w:tr>
      <w:tr>
        <w:trPr>
          <w:cantSplit/>
        </w:trPr>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yolov8_cls</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0.0</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Cross entropy</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balanced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flip p=0.5; rotation +/-5.0 deg</w:t>
            </w:r>
          </w:p>
        </w:tc>
        <w:tc>
          <w:tcPr>
            <w:tcW w:type="dxa" w:w="1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baseline</w:t>
            </w:r>
          </w:p>
        </w:tc>
        <w:tc>
          <w:tcPr>
            <w:tcW w:type="dxa" w:w="12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Validation macro F1</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Official v8.3.0 classification checkpoint/head provenance; no formal YOLOv8 paper or supplied pneumonia paper establishes these exact settings.</w:t>
            </w:r>
          </w:p>
        </w:tc>
      </w:tr>
    </w:tbl>
    <w:p>
      <w:pPr>
        <w:spacing w:after="40"/>
      </w:pPr>
    </w:p>
    <w:p>
      <w:r>
        <w:br w:type="page"/>
      </w:r>
    </w:p>
    <w:p>
      <w:pPr>
        <w:pStyle w:val="Heading1"/>
      </w:pPr>
      <w:r>
        <w:rPr>
          <w:rFonts w:ascii="Arial" w:hAnsi="Arial" w:eastAsia="Arial"/>
          <w:b/>
          <w:color w:val="000000"/>
          <w:sz w:val="32"/>
        </w:rPr>
        <w:t>8. Explainability, Calibration, and Efficiency</w:t>
      </w:r>
    </w:p>
    <w:p>
      <w:pPr>
        <w:pStyle w:val="Heading2"/>
      </w:pPr>
      <w:r>
        <w:rPr>
          <w:rFonts w:ascii="Arial" w:hAnsi="Arial" w:eastAsia="Arial"/>
          <w:b/>
          <w:color w:val="000000"/>
          <w:sz w:val="26"/>
        </w:rPr>
        <w:t>8.1 Grad-CAM qualitative review</w:t>
      </w:r>
    </w:p>
    <w:p>
      <w:r>
        <w:rPr>
          <w:rFonts w:ascii="Arial" w:hAnsi="Arial" w:eastAsia="Arial"/>
          <w:color w:val="000000"/>
          <w:sz w:val="21"/>
        </w:rPr>
        <w:t>Grad-CAM was generated only after selection and the single locked-test evaluation were complete. For each class, a high-confidence correct case and—where available—a high-confidence error case were selected from the frozen test predictions. The target is the model's predicted class at the final convolutional feature stage.</w:t>
      </w:r>
    </w:p>
    <w:p>
      <w:pPr>
        <w:keepNext/>
        <w:jc w:val="center"/>
      </w:pPr>
      <w:r>
        <w:drawing>
          <wp:inline xmlns:a="http://schemas.openxmlformats.org/drawingml/2006/main" xmlns:pic="http://schemas.openxmlformats.org/drawingml/2006/picture">
            <wp:extent cx="5669280" cy="2078532"/>
            <wp:docPr id="3" name="Picture 3"/>
            <wp:cNvGraphicFramePr>
              <a:graphicFrameLocks noChangeAspect="1"/>
            </wp:cNvGraphicFramePr>
            <a:graphic>
              <a:graphicData uri="http://schemas.openxmlformats.org/drawingml/2006/picture">
                <pic:pic>
                  <pic:nvPicPr>
                    <pic:cNvPr id="0" name="01_correct_normal_train-normal-im-0290-0001-jpeg.png"/>
                    <pic:cNvPicPr/>
                  </pic:nvPicPr>
                  <pic:blipFill>
                    <a:blip r:embed="rId13"/>
                    <a:stretch>
                      <a:fillRect/>
                    </a:stretch>
                  </pic:blipFill>
                  <pic:spPr>
                    <a:xfrm>
                      <a:off x="0" y="0"/>
                      <a:ext cx="5669280" cy="2078532"/>
                    </a:xfrm>
                    <a:prstGeom prst="rect"/>
                  </pic:spPr>
                </pic:pic>
              </a:graphicData>
            </a:graphic>
          </wp:inline>
        </w:drawing>
      </w:r>
    </w:p>
    <w:p>
      <w:pPr>
        <w:pStyle w:val="Caption"/>
        <w:jc w:val="center"/>
      </w:pPr>
      <w:r>
        <w:rPr>
          <w:rFonts w:ascii="Arial" w:hAnsi="Arial" w:eastAsia="Arial"/>
          <w:color w:val="000000"/>
          <w:sz w:val="17"/>
        </w:rPr>
        <w:t>Grad-CAM correct: truth Normal, prediction Normal, confidence 1.000. Qualitative localization only.</w:t>
      </w:r>
    </w:p>
    <w:p>
      <w:pPr>
        <w:keepNext/>
        <w:jc w:val="center"/>
      </w:pPr>
      <w:r>
        <w:drawing>
          <wp:inline xmlns:a="http://schemas.openxmlformats.org/drawingml/2006/main" xmlns:pic="http://schemas.openxmlformats.org/drawingml/2006/picture">
            <wp:extent cx="5669280" cy="2078532"/>
            <wp:docPr id="4" name="Picture 4"/>
            <wp:cNvGraphicFramePr>
              <a:graphicFrameLocks noChangeAspect="1"/>
            </wp:cNvGraphicFramePr>
            <a:graphic>
              <a:graphicData uri="http://schemas.openxmlformats.org/drawingml/2006/picture">
                <pic:pic>
                  <pic:nvPicPr>
                    <pic:cNvPr id="0" name="02_error_normal_test-normal-normal2-im-0256-0001-jpeg.png"/>
                    <pic:cNvPicPr/>
                  </pic:nvPicPr>
                  <pic:blipFill>
                    <a:blip r:embed="rId14"/>
                    <a:stretch>
                      <a:fillRect/>
                    </a:stretch>
                  </pic:blipFill>
                  <pic:spPr>
                    <a:xfrm>
                      <a:off x="0" y="0"/>
                      <a:ext cx="5669280" cy="2078532"/>
                    </a:xfrm>
                    <a:prstGeom prst="rect"/>
                  </pic:spPr>
                </pic:pic>
              </a:graphicData>
            </a:graphic>
          </wp:inline>
        </w:drawing>
      </w:r>
    </w:p>
    <w:p>
      <w:pPr>
        <w:pStyle w:val="Caption"/>
        <w:jc w:val="center"/>
      </w:pPr>
      <w:r>
        <w:rPr>
          <w:rFonts w:ascii="Arial" w:hAnsi="Arial" w:eastAsia="Arial"/>
          <w:color w:val="000000"/>
          <w:sz w:val="17"/>
        </w:rPr>
        <w:t>Grad-CAM error: truth Normal, prediction Viral, confidence 0.939. Qualitative localization only.</w:t>
      </w:r>
    </w:p>
    <w:p>
      <w:pPr>
        <w:keepNext/>
        <w:jc w:val="center"/>
      </w:pPr>
      <w:r>
        <w:drawing>
          <wp:inline xmlns:a="http://schemas.openxmlformats.org/drawingml/2006/main" xmlns:pic="http://schemas.openxmlformats.org/drawingml/2006/picture">
            <wp:extent cx="5669280" cy="2078532"/>
            <wp:docPr id="5" name="Picture 5"/>
            <wp:cNvGraphicFramePr>
              <a:graphicFrameLocks noChangeAspect="1"/>
            </wp:cNvGraphicFramePr>
            <a:graphic>
              <a:graphicData uri="http://schemas.openxmlformats.org/drawingml/2006/picture">
                <pic:pic>
                  <pic:nvPicPr>
                    <pic:cNvPr id="0" name="03_correct_viral_test-pneumonia-person71-virus-131-jpeg.png"/>
                    <pic:cNvPicPr/>
                  </pic:nvPicPr>
                  <pic:blipFill>
                    <a:blip r:embed="rId15"/>
                    <a:stretch>
                      <a:fillRect/>
                    </a:stretch>
                  </pic:blipFill>
                  <pic:spPr>
                    <a:xfrm>
                      <a:off x="0" y="0"/>
                      <a:ext cx="5669280" cy="2078532"/>
                    </a:xfrm>
                    <a:prstGeom prst="rect"/>
                  </pic:spPr>
                </pic:pic>
              </a:graphicData>
            </a:graphic>
          </wp:inline>
        </w:drawing>
      </w:r>
    </w:p>
    <w:p>
      <w:pPr>
        <w:pStyle w:val="Caption"/>
        <w:jc w:val="center"/>
      </w:pPr>
      <w:r>
        <w:rPr>
          <w:rFonts w:ascii="Arial" w:hAnsi="Arial" w:eastAsia="Arial"/>
          <w:color w:val="000000"/>
          <w:sz w:val="17"/>
        </w:rPr>
        <w:t>Grad-CAM correct: truth Viral, prediction Viral, confidence 0.972. Qualitative localization only.</w:t>
      </w:r>
    </w:p>
    <w:p>
      <w:pPr>
        <w:keepNext/>
        <w:jc w:val="center"/>
      </w:pPr>
      <w:r>
        <w:drawing>
          <wp:inline xmlns:a="http://schemas.openxmlformats.org/drawingml/2006/main" xmlns:pic="http://schemas.openxmlformats.org/drawingml/2006/picture">
            <wp:extent cx="5669280" cy="2078532"/>
            <wp:docPr id="6" name="Picture 6"/>
            <wp:cNvGraphicFramePr>
              <a:graphicFrameLocks noChangeAspect="1"/>
            </wp:cNvGraphicFramePr>
            <a:graphic>
              <a:graphicData uri="http://schemas.openxmlformats.org/drawingml/2006/picture">
                <pic:pic>
                  <pic:nvPicPr>
                    <pic:cNvPr id="0" name="04_error_viral_train-pneumonia-person1180-virus-2009-jpeg.png"/>
                    <pic:cNvPicPr/>
                  </pic:nvPicPr>
                  <pic:blipFill>
                    <a:blip r:embed="rId16"/>
                    <a:stretch>
                      <a:fillRect/>
                    </a:stretch>
                  </pic:blipFill>
                  <pic:spPr>
                    <a:xfrm>
                      <a:off x="0" y="0"/>
                      <a:ext cx="5669280" cy="2078532"/>
                    </a:xfrm>
                    <a:prstGeom prst="rect"/>
                  </pic:spPr>
                </pic:pic>
              </a:graphicData>
            </a:graphic>
          </wp:inline>
        </w:drawing>
      </w:r>
    </w:p>
    <w:p>
      <w:pPr>
        <w:pStyle w:val="Caption"/>
        <w:jc w:val="center"/>
      </w:pPr>
      <w:r>
        <w:rPr>
          <w:rFonts w:ascii="Arial" w:hAnsi="Arial" w:eastAsia="Arial"/>
          <w:color w:val="000000"/>
          <w:sz w:val="17"/>
        </w:rPr>
        <w:t>Grad-CAM error: truth Viral, prediction Bacterial, confidence 1.000. Qualitative localization only.</w:t>
      </w:r>
    </w:p>
    <w:p>
      <w:pPr>
        <w:keepNext/>
        <w:jc w:val="center"/>
      </w:pPr>
      <w:r>
        <w:drawing>
          <wp:inline xmlns:a="http://schemas.openxmlformats.org/drawingml/2006/main" xmlns:pic="http://schemas.openxmlformats.org/drawingml/2006/picture">
            <wp:extent cx="5669280" cy="2078532"/>
            <wp:docPr id="7" name="Picture 7"/>
            <wp:cNvGraphicFramePr>
              <a:graphicFrameLocks noChangeAspect="1"/>
            </wp:cNvGraphicFramePr>
            <a:graphic>
              <a:graphicData uri="http://schemas.openxmlformats.org/drawingml/2006/picture">
                <pic:pic>
                  <pic:nvPicPr>
                    <pic:cNvPr id="0" name="05_correct_bacterial_test-pneumonia-person145-bacteria-696-jpeg.png"/>
                    <pic:cNvPicPr/>
                  </pic:nvPicPr>
                  <pic:blipFill>
                    <a:blip r:embed="rId17"/>
                    <a:stretch>
                      <a:fillRect/>
                    </a:stretch>
                  </pic:blipFill>
                  <pic:spPr>
                    <a:xfrm>
                      <a:off x="0" y="0"/>
                      <a:ext cx="5669280" cy="2078532"/>
                    </a:xfrm>
                    <a:prstGeom prst="rect"/>
                  </pic:spPr>
                </pic:pic>
              </a:graphicData>
            </a:graphic>
          </wp:inline>
        </w:drawing>
      </w:r>
    </w:p>
    <w:p>
      <w:pPr>
        <w:pStyle w:val="Caption"/>
        <w:jc w:val="center"/>
      </w:pPr>
      <w:r>
        <w:rPr>
          <w:rFonts w:ascii="Arial" w:hAnsi="Arial" w:eastAsia="Arial"/>
          <w:color w:val="000000"/>
          <w:sz w:val="17"/>
        </w:rPr>
        <w:t>Grad-CAM correct: truth Bacterial, prediction Bacterial, confidence 1.000. Qualitative localization only.</w:t>
      </w:r>
    </w:p>
    <w:p>
      <w:pPr>
        <w:keepNext/>
        <w:jc w:val="center"/>
      </w:pPr>
      <w:r>
        <w:drawing>
          <wp:inline xmlns:a="http://schemas.openxmlformats.org/drawingml/2006/main" xmlns:pic="http://schemas.openxmlformats.org/drawingml/2006/picture">
            <wp:extent cx="5669280" cy="2078532"/>
            <wp:docPr id="8" name="Picture 8"/>
            <wp:cNvGraphicFramePr>
              <a:graphicFrameLocks noChangeAspect="1"/>
            </wp:cNvGraphicFramePr>
            <a:graphic>
              <a:graphicData uri="http://schemas.openxmlformats.org/drawingml/2006/picture">
                <pic:pic>
                  <pic:nvPicPr>
                    <pic:cNvPr id="0" name="06_error_bacterial_train-pneumonia-person1454-bacteria-3780-jpeg.png"/>
                    <pic:cNvPicPr/>
                  </pic:nvPicPr>
                  <pic:blipFill>
                    <a:blip r:embed="rId18"/>
                    <a:stretch>
                      <a:fillRect/>
                    </a:stretch>
                  </pic:blipFill>
                  <pic:spPr>
                    <a:xfrm>
                      <a:off x="0" y="0"/>
                      <a:ext cx="5669280" cy="2078532"/>
                    </a:xfrm>
                    <a:prstGeom prst="rect"/>
                  </pic:spPr>
                </pic:pic>
              </a:graphicData>
            </a:graphic>
          </wp:inline>
        </w:drawing>
      </w:r>
    </w:p>
    <w:p>
      <w:pPr>
        <w:pStyle w:val="Caption"/>
        <w:jc w:val="center"/>
      </w:pPr>
      <w:r>
        <w:rPr>
          <w:rFonts w:ascii="Arial" w:hAnsi="Arial" w:eastAsia="Arial"/>
          <w:color w:val="000000"/>
          <w:sz w:val="17"/>
        </w:rPr>
        <w:t>Grad-CAM error: truth Bacterial, prediction Viral, confidence 0.974. Qualitative localization only.</w:t>
      </w:r>
    </w:p>
    <w:p>
      <w:pPr>
        <w:keepLines/>
        <w:spacing w:before="80" w:after="160"/>
        <w:pBdr>
          <w:bottom w:val="single" w:sz="6" w:space="1" w:color="000000"/>
        </w:pBdr>
      </w:pPr>
      <w:r>
        <w:rPr>
          <w:rFonts w:ascii="Arial" w:hAnsi="Arial" w:eastAsia="Arial"/>
          <w:b/>
          <w:color w:val="000000"/>
          <w:sz w:val="20"/>
        </w:rPr>
        <w:t>Qualitative localization only; not segmentation ground truth, causal proof, or clinical validation.</w:t>
      </w:r>
    </w:p>
    <w:p>
      <w:pPr>
        <w:pStyle w:val="Heading2"/>
      </w:pPr>
      <w:r>
        <w:rPr>
          <w:rFonts w:ascii="Arial" w:hAnsi="Arial" w:eastAsia="Arial"/>
          <w:b/>
          <w:color w:val="000000"/>
          <w:sz w:val="26"/>
        </w:rPr>
        <w:t>8.2 Temperature scaling</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300"/>
        <w:gridCol w:w="1300"/>
        <w:gridCol w:w="1500"/>
        <w:gridCol w:w="1300"/>
        <w:gridCol w:w="2160"/>
      </w:tblGrid>
      <w:tr>
        <w:trPr>
          <w:cantSplit/>
          <w:tblHeader w:val="true"/>
        </w:trPr>
        <w:tc>
          <w:tcPr>
            <w:tcW w:type="dxa" w:w="1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Split/state</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Accuracy</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Macro F1</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Log loss</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ECE</w:t>
            </w:r>
          </w:p>
        </w:tc>
        <w:tc>
          <w:tcPr>
            <w:tcW w:type="dxa" w:w="21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Brier</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Validation before</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0.8535</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0.8447</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0.3916</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0.0494</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0.2145</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Validation after</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0.8535</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0.8447</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0.3704</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0.0423</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0.2133</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Test before</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0.7986</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0.7888</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0.6307</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0.1004</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0.3131</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Test after</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0.7986</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0.7888</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0.5391</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0.0660</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0.3020</w:t>
            </w:r>
          </w:p>
        </w:tc>
      </w:tr>
    </w:tbl>
    <w:p>
      <w:pPr>
        <w:spacing w:after="40"/>
      </w:pPr>
    </w:p>
    <w:p>
      <w:r>
        <w:rPr>
          <w:rFonts w:ascii="Arial" w:hAnsi="Arial" w:eastAsia="Arial"/>
          <w:color w:val="000000"/>
          <w:sz w:val="21"/>
        </w:rPr>
        <w:t>Temperature = 1.405619, fit on validation probabilities only. Temperature scaling does not change class ranking, so classification accuracy and macro F1 remain unchanged.</w:t>
      </w:r>
    </w:p>
    <w:p>
      <w:pPr>
        <w:keepNext/>
        <w:jc w:val="center"/>
      </w:pPr>
      <w:r>
        <w:drawing>
          <wp:inline xmlns:a="http://schemas.openxmlformats.org/drawingml/2006/main" xmlns:pic="http://schemas.openxmlformats.org/drawingml/2006/picture">
            <wp:extent cx="5577840" cy="2542678"/>
            <wp:docPr id="9" name="Picture 9"/>
            <wp:cNvGraphicFramePr>
              <a:graphicFrameLocks noChangeAspect="1"/>
            </wp:cNvGraphicFramePr>
            <a:graphic>
              <a:graphicData uri="http://schemas.openxmlformats.org/drawingml/2006/picture">
                <pic:pic>
                  <pic:nvPicPr>
                    <pic:cNvPr id="0" name="test_calibration_temperature_scaling.png"/>
                    <pic:cNvPicPr/>
                  </pic:nvPicPr>
                  <pic:blipFill>
                    <a:blip r:embed="rId19"/>
                    <a:stretch>
                      <a:fillRect/>
                    </a:stretch>
                  </pic:blipFill>
                  <pic:spPr>
                    <a:xfrm>
                      <a:off x="0" y="0"/>
                      <a:ext cx="5577840" cy="2542678"/>
                    </a:xfrm>
                    <a:prstGeom prst="rect"/>
                  </pic:spPr>
                </pic:pic>
              </a:graphicData>
            </a:graphic>
          </wp:inline>
        </w:drawing>
      </w:r>
    </w:p>
    <w:p>
      <w:pPr>
        <w:pStyle w:val="Caption"/>
        <w:jc w:val="center"/>
      </w:pPr>
      <w:r>
        <w:rPr>
          <w:rFonts w:ascii="Arial" w:hAnsi="Arial" w:eastAsia="Arial"/>
          <w:color w:val="000000"/>
          <w:sz w:val="17"/>
        </w:rPr>
        <w:t>Locked-test reliability curves before and after validation-fit temperature scaling.</w:t>
      </w:r>
    </w:p>
    <w:p>
      <w:pPr>
        <w:pStyle w:val="Heading2"/>
      </w:pPr>
      <w:r>
        <w:rPr>
          <w:rFonts w:ascii="Arial" w:hAnsi="Arial" w:eastAsia="Arial"/>
          <w:b/>
          <w:color w:val="000000"/>
          <w:sz w:val="26"/>
        </w:rPr>
        <w:t>8.3 Efficiency</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060"/>
      </w:tblGrid>
      <w:tr>
        <w:trPr>
          <w:cantSplit/>
          <w:tblHeader w:val="true"/>
        </w:trPr>
        <w:tc>
          <w:tcPr>
            <w:tcW w:type="dxa" w:w="3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Engineering measure</w:t>
            </w:r>
          </w:p>
        </w:tc>
        <w:tc>
          <w:tcPr>
            <w:tcW w:type="dxa" w:w="60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Value</w:t>
            </w:r>
          </w:p>
        </w:tc>
      </w:tr>
      <w:tr>
        <w:trPr>
          <w:cantSplit/>
        </w:trPr>
        <w:tc>
          <w:tcPr>
            <w:tcW w:type="dxa" w:w="3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Hardware</w:t>
            </w:r>
          </w:p>
        </w:tc>
        <w:tc>
          <w:tcPr>
            <w:tcW w:type="dxa" w:w="6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NVIDIA GeForce RTX 2050</w:t>
            </w:r>
          </w:p>
        </w:tc>
      </w:tr>
      <w:tr>
        <w:trPr>
          <w:cantSplit/>
        </w:trPr>
        <w:tc>
          <w:tcPr>
            <w:tcW w:type="dxa" w:w="3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Measured images</w:t>
            </w:r>
          </w:p>
        </w:tc>
        <w:tc>
          <w:tcPr>
            <w:tcW w:type="dxa" w:w="6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200</w:t>
            </w:r>
          </w:p>
        </w:tc>
      </w:tr>
      <w:tr>
        <w:trPr>
          <w:cantSplit/>
        </w:trPr>
        <w:tc>
          <w:tcPr>
            <w:tcW w:type="dxa" w:w="3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Mean end-to-end latency</w:t>
            </w:r>
          </w:p>
        </w:tc>
        <w:tc>
          <w:tcPr>
            <w:tcW w:type="dxa" w:w="6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67.53 ms/image</w:t>
            </w:r>
          </w:p>
        </w:tc>
      </w:tr>
      <w:tr>
        <w:trPr>
          <w:cantSplit/>
        </w:trPr>
        <w:tc>
          <w:tcPr>
            <w:tcW w:type="dxa" w:w="3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Median / p95</w:t>
            </w:r>
          </w:p>
        </w:tc>
        <w:tc>
          <w:tcPr>
            <w:tcW w:type="dxa" w:w="6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64.61 / 102.02 ms</w:t>
            </w:r>
          </w:p>
        </w:tc>
      </w:tr>
      <w:tr>
        <w:trPr>
          <w:cantSplit/>
        </w:trPr>
        <w:tc>
          <w:tcPr>
            <w:tcW w:type="dxa" w:w="3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Throughput from mean</w:t>
            </w:r>
          </w:p>
        </w:tc>
        <w:tc>
          <w:tcPr>
            <w:tcW w:type="dxa" w:w="6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14.81 images/s</w:t>
            </w:r>
          </w:p>
        </w:tc>
      </w:tr>
      <w:tr>
        <w:trPr>
          <w:cantSplit/>
        </w:trPr>
        <w:tc>
          <w:tcPr>
            <w:tcW w:type="dxa" w:w="3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Parameters</w:t>
            </w:r>
          </w:p>
        </w:tc>
        <w:tc>
          <w:tcPr>
            <w:tcW w:type="dxa" w:w="6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18,098,691</w:t>
            </w:r>
          </w:p>
        </w:tc>
      </w:tr>
      <w:tr>
        <w:trPr>
          <w:cantSplit/>
        </w:trPr>
        <w:tc>
          <w:tcPr>
            <w:tcW w:type="dxa" w:w="3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Checkpoint size</w:t>
            </w:r>
          </w:p>
        </w:tc>
        <w:tc>
          <w:tcPr>
            <w:tcW w:type="dxa" w:w="6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209.0 MB</w:t>
            </w:r>
          </w:p>
        </w:tc>
      </w:tr>
      <w:tr>
        <w:trPr>
          <w:cantSplit/>
        </w:trPr>
        <w:tc>
          <w:tcPr>
            <w:tcW w:type="dxa" w:w="3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Peak training GPU memory</w:t>
            </w:r>
          </w:p>
        </w:tc>
        <w:tc>
          <w:tcPr>
            <w:tcW w:type="dxa" w:w="6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1060.7 MB</w:t>
            </w:r>
          </w:p>
        </w:tc>
      </w:tr>
    </w:tbl>
    <w:p>
      <w:pPr>
        <w:spacing w:after="40"/>
      </w:pPr>
    </w:p>
    <w:p>
      <w:pPr>
        <w:keepLines/>
        <w:spacing w:before="80" w:after="160"/>
        <w:pBdr>
          <w:bottom w:val="single" w:sz="6" w:space="1" w:color="000000"/>
        </w:pBdr>
      </w:pPr>
      <w:r>
        <w:rPr>
          <w:rFonts w:ascii="Arial" w:hAnsi="Arial" w:eastAsia="Arial"/>
          <w:b/>
          <w:color w:val="000000"/>
          <w:sz w:val="20"/>
        </w:rPr>
        <w:t>This is a local single-device engineering measurement, not a clinical deployment benchmark.</w:t>
      </w:r>
    </w:p>
    <w:p>
      <w:r>
        <w:br w:type="page"/>
      </w:r>
    </w:p>
    <w:p>
      <w:pPr>
        <w:pStyle w:val="Heading1"/>
      </w:pPr>
      <w:r>
        <w:rPr>
          <w:rFonts w:ascii="Arial" w:hAnsi="Arial" w:eastAsia="Arial"/>
          <w:b/>
          <w:color w:val="000000"/>
          <w:sz w:val="32"/>
        </w:rPr>
        <w:t>9. Verified RRL and Research Evidence Matrix</w:t>
      </w:r>
    </w:p>
    <w:p>
      <w:r>
        <w:rPr>
          <w:rFonts w:ascii="Arial" w:hAnsi="Arial" w:eastAsia="Arial"/>
          <w:color w:val="000000"/>
          <w:sz w:val="21"/>
        </w:rPr>
        <w:t>The supplied screenshot was treated as a supplementary reference index, not a source of truth. It displayed ten study rows and blank Reference Link cells. No original RRL spreadsheet or separate bibliography was present in the repository. Each visible study was located by exact title/authors/year and verified against a publisher, DOI, PubMed, official repository, or primary paper.</w:t>
      </w:r>
    </w:p>
    <w:p>
      <w:pPr>
        <w:keepLines/>
        <w:spacing w:before="80" w:after="160"/>
        <w:pBdr>
          <w:bottom w:val="single" w:sz="6" w:space="1" w:color="000000"/>
        </w:pBdr>
      </w:pPr>
      <w:r>
        <w:rPr>
          <w:rFonts w:ascii="Arial" w:hAnsi="Arial" w:eastAsia="Arial"/>
          <w:b/>
          <w:color w:val="000000"/>
          <w:sz w:val="20"/>
        </w:rPr>
        <w:t>Open and verify every available reference link relevant to the eight supported models. When the link column is blank, incomplete, inaccessible, or only visible through the supplied image, locate the original publication using the exact title, authors, year, DOI, or publisher.</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50"/>
        <w:gridCol w:w="3000"/>
        <w:gridCol w:w="1550"/>
        <w:gridCol w:w="2200"/>
        <w:gridCol w:w="2060"/>
      </w:tblGrid>
      <w:tr>
        <w:trPr>
          <w:cantSplit/>
          <w:tblHeader w:val="true"/>
        </w:trPr>
        <w:tc>
          <w:tcPr>
            <w:tcW w:type="dxa" w:w="5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ID</w:t>
            </w:r>
          </w:p>
        </w:tc>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Verified citation</w:t>
            </w:r>
          </w:p>
        </w:tc>
        <w:tc>
          <w:tcPr>
            <w:tcW w:type="dxa" w:w="15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Category</w:t>
            </w:r>
          </w:p>
        </w:tc>
        <w:tc>
          <w:tcPr>
            <w:tcW w:type="dxa" w:w="2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Result / merit</w:t>
            </w:r>
          </w:p>
        </w:tc>
        <w:tc>
          <w:tcPr>
            <w:tcW w:type="dxa" w:w="20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Applicability</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6</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Dejun Zhang; Fuquan Ren; Yushuang Li; Lei Na; Yue Ma (2021). Pneumonia Detection from Chest X-ray Images Based on Convolutional Neural Network.</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CNN chest X-ray pneumonia classification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Accuracy 96.068%; AUC 0.99107; precision 94.408%; recall 90.823%; F1 92.851%. Small deployable classifier; 97.51% fewer parameters than VGG16.</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Directly concerns CXR contrast enhancement and CNN classification, but the task is binary and the architecture/split differ.</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7</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Halit Bakır; Semih Oktay; Emre Tabaru (2023). Detection of Pneumonia from X-ray Images Using Deep Learning Techniques.</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CNN chest X-ray pneumonia classification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Best binary ANN+MobileNet accuracy 95.67%; best exact three-class ANN+ResNet accuracy 81.67%. Demonstrates transfer-feature hybrids on the exact three clinical labels.</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Direct: Uses the exact Normal/Viral/Bacterial three-class CXR task and includes a ResNet feature extractor.</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4</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Tawsifur Rahman; Muhammad E. H. Chowdhury; Amith Khandakar; Khandaker R. Islam; Khandaker F. Islam; Zaid B. Mahbub; Muhammad A. Kadir; Saad Kashem (2020). Transfer Learning with Deep Convolutional Neural Network (CNN) for Pneumonia Detection Using Chest X-ray.</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CNN chest X-ray pneumonia classification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98% Normal-versus-Pneumonia accuracy; 95% Bacterial-versus-Viral accuracy; 93.3% exact three-class accuracy. Strong, directly comparable evidence for DenseNet/ResNet transfer learning on the exact label set.</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Direct: Exact task and class labels; directly relevant DenseNet201 and ResNet-family transfer learning.</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3</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Rohit Kundu; Ritacheta Das; Zong Woo Geem; Gi-Tae Han; Ram Sarkar (2021). Pneumonia Detection in Chest X-ray Images Using an Ensemble of Deep Learning Models.</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CNN chest X-ray pneumonia classification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Accuracy 98.81% on Kermany and 86.85% on RSNA; sensitivity 98.80% and 87.02%, respectively. Weighted complementary CNN predictions outperform individual members.</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Relevant DenseNet121/ResNet ensemble evidence, but task is binary and method is an ensemble.</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11</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T. S. Arulananth; S. Wilson Prakash; Ramesh Kumar Ayyasamy; V. P. Kavitha; P. G. Kuppusamy; P. Chinnasamy (2024). Classification of Paediatric Pneumonia Using Modified DenseNet-121 Deep-Learning Model.</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CNN chest X-ray pneumonia classification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Accuracy 97.03% with strong precision and recall. Recent DenseNet121-focused pediatric CXR evidence.</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Relevant DenseNet121 pediatric CXR study, but not the exact three-class task.</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5</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Amit Kumar Jaiswal; Prayag Tiwari; Sachin Kumar; Deepak Gupta; Ashish Khanna; Joel J. P. C. Rodrigues (2019). Identifying Pneumonia in Chest X-Rays: A Deep Learning Approach.</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Segmentation and localization of pneumonia regions</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Stage-2 scores reported as 0.183720 (ResNet50), 0.199352 (ResNet101), and 0.218051 (ensemble). Supports localization/ROI discussion and ResNet backbones.</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Relevant CXR localization and ResNet backbones, but not a three-class classifier.</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yet</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Fausto Milletari; Nassir Navab; Seyed-Ahmad Ahmadi (2016). V-Net: Fully Convolutional Neural Networks for Volumetric Medical Image Segmentation.</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Segmentation and localization of pneumonia regions</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Outperformed compared 2D approaches on the study's volumetric segmentation task. Foundational 3D segmentation architecture.</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Excluded: Volumetric prostate MRI segmentation cannot determine 2D chest-X-ray classification settings.</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2</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Zhenxing Huang; Xinfeng Liu; Rongpin Wang; Mudan Zhang; Xianchun Zeng; Jun Liu; Yongfeng Yang; Xin Liu; Hairong Zheng; Dong Liang; Zhanli Hu (2021 journal issue; online 2020). FaNet: Fast Assessment Network for COVID-19 Pneumonia Based on 3D CT Imaging and Clinical Symptoms.</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Multimodal or non-imaging AI for pneumonia</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98.28% diagnosis accuracy; 94.83% severity accuracy. Demonstrates complementary imaging and clinical features.</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Background: Provides multimodal context only and must not set the present image-classifier configuration.</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Katy Stokes; Rossana Castaldo; Carlo Federici; Silvio Pagliara; Alessia Maccaro; Francesco Cappuccio; Giuseppe Fico; Marco Salvatore; Monica Franzese; Leandro Pecchia (2022). The Use of AI Systems in Diagnosis of Pneumonia via Signs and Symptoms: A Systematic Review.</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Multimodal or non-imaging AI for pneumonia</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Most included models reported greater than 90% accuracy, with substantial inconsistency and heterogeneity. Summarizes non-imaging diagnostic approaches and reporting gaps.</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Background: Useful clinical-AI context only; no direct model-configuration evidence for the image classifier.</w:t>
            </w:r>
          </w:p>
        </w:tc>
      </w:tr>
      <w:tr>
        <w:trPr>
          <w:cantSplit/>
        </w:trPr>
        <w:tc>
          <w:tcPr>
            <w:tcW w:type="dxa" w:w="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9</w:t>
            </w:r>
          </w:p>
        </w:tc>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Hicham Moujahid; Bouchaib Cherradi; Mohammed Al-Sarem; Lhoussain Bahatti; Bakr Assedik Eljialy; Abdullah Alsaeedi; Faisal Saeed (2022 journal issue; online 2021). Combining CNN and Grad-CAM for COVID-19 Disease Prediction and Visual Explanation.</w:t>
            </w:r>
          </w:p>
        </w:tc>
        <w:tc>
          <w:tcPr>
            <w:tcW w:type="dxa" w:w="15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Explainability and Grad-CAM for respiratory imaging</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Best VGG19: 96.97% accuracy; reported precision 100%, F1 100%, recall 99%. Provides respiratory-imaging Grad-CAM procedure and examples.</w:t>
            </w:r>
          </w:p>
        </w:tc>
        <w:tc>
          <w:tcPr>
            <w:tcW w:type="dxa" w:w="20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Supports the final explainability workflow, not the present classifier settings.</w:t>
            </w:r>
          </w:p>
        </w:tc>
      </w:tr>
    </w:tbl>
    <w:p>
      <w:pPr>
        <w:spacing w:after="40"/>
      </w:pPr>
    </w:p>
    <w:p>
      <w:pPr>
        <w:pStyle w:val="Heading2"/>
      </w:pPr>
      <w:r>
        <w:rPr>
          <w:rFonts w:ascii="Arial" w:hAnsi="Arial" w:eastAsia="Arial"/>
          <w:b/>
          <w:color w:val="000000"/>
          <w:sz w:val="26"/>
        </w:rPr>
        <w:t>9.1 Detailed verification of screenshot entries</w:t>
      </w:r>
    </w:p>
    <w:p>
      <w:pPr>
        <w:pStyle w:val="Heading3"/>
      </w:pPr>
      <w:r>
        <w:rPr>
          <w:rFonts w:ascii="Arial" w:hAnsi="Arial" w:eastAsia="Arial"/>
          <w:b/>
          <w:color w:val="000000"/>
          <w:sz w:val="23"/>
        </w:rPr>
        <w:t>6 — Pneumonia Detection from Chest X-ray Images Based on Convolutional Neural Network</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Dejun Zhang; Fuquan Ren; Yushuang Li; Lei Na; Yue Ma | 2021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Electronics 10(13):1512 | 10.3390/electronics10131512</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Develop a small VGG-inspired CNN for Normal versus Pneumonia chest-X-ray classification.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Six-layer VGG-inspired binary CNN; dynamic histogram enhancement (DHE); random 70/10/20 split of 5,786 images.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Binary CXR classification: Normal, Pneumonia | 5,786 pediatric CXRs | Simplified VGG-inspired six-layer CNN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DHE; one-channel values scaled to [0,1] | Rotation 0-30 degrees; zoom 0.2; width/height shift 0.1; horizontal and vertical flips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Not reported; optimizer: Adam; LR: 0.001; WD: 0.0001 reported as decay; batch: Not reported; epochs: Not reported; loss: Binary cross entropy</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Accuracy 96.068%; AUC 0.99107; precision 94.408%; recall 90.823%; F1 92.851%.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Small deployable classifier; 97.51% fewer parameters than VGG16.</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Binary task and independent random split; does not establish settings for viral-versus-bacterial discrimination.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Partial — Directly concerns CXR contrast enhancement and CNN classification, but the task is binary and the architecture/split differ.</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Publisher page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Screenshot title was corrected to the publisher title. The &gt;97% claim is parameter reduction, not an accuracy or generic support claim.</w:t>
            </w:r>
          </w:p>
        </w:tc>
      </w:tr>
    </w:tbl>
    <w:p>
      <w:pPr>
        <w:spacing w:after="40"/>
      </w:pPr>
    </w:p>
    <w:p>
      <w:r>
        <w:rPr>
          <w:rFonts w:ascii="Arial" w:hAnsi="Arial" w:eastAsia="Arial"/>
          <w:b/>
          <w:color w:val="000000"/>
          <w:sz w:val="18"/>
        </w:rPr>
        <w:t xml:space="preserve">Verified primary/official link: </w:t>
      </w:r>
      <w:hyperlink r:id="rId20">
        <w:r>
          <w:rPr>
            <w:color w:val="000000"/>
            <w:u w:val="single"/>
          </w:rPr>
          <w:t>https://www.mdpi.com/2079-9292/10/13/1512</w:t>
        </w:r>
      </w:hyperlink>
    </w:p>
    <w:p>
      <w:pPr>
        <w:pStyle w:val="Heading3"/>
      </w:pPr>
      <w:r>
        <w:rPr>
          <w:rFonts w:ascii="Arial" w:hAnsi="Arial" w:eastAsia="Arial"/>
          <w:b/>
          <w:color w:val="000000"/>
          <w:sz w:val="23"/>
        </w:rPr>
        <w:t>7 — Detection of Pneumonia from X-ray Images Using Deep Learning Techniques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Halit Bakır; Semih Oktay; Emre Tabaru | 2023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Journal of Scientific Reports-A 52:419-440 | 10.59313/jsr-a.1219363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Compare ANN and CNN-based feature-extractor combinations for pneumonia detection.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Pretrained feature extractors including ResNet and MobileNet were combined with ANN/CNN classifiers for binary and multiclass experiments.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Binary and three-class CXR classification; three-class includes Normal, Bacterial Pneumonia, Viral Pneumonia | Not reported | ANN/CNN hybrids with ResNet and MobileNet feature extraction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 |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Not reported; optimizer: Not reported; LR: Not reported; WD: Not reported; batch: Not reported; epochs: Not reported; loss: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Best binary ANN+MobileNet accuracy 95.67%; best exact three-class ANN+ResNet accuracy 81.67%.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Demonstrates transfer-feature hybrids on the exact three clinical labels.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training pipeline and hybrid classifier; incomplete transferability of its hyperparameters to end-to-end fine-tuning.</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Direct — Uses the exact Normal/Viral/Bacterial three-class CXR task and includes a ResNet feature extractor.</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Publisher page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w:t>
            </w:r>
          </w:p>
        </w:tc>
      </w:tr>
    </w:tbl>
    <w:p>
      <w:pPr>
        <w:spacing w:after="40"/>
      </w:pPr>
    </w:p>
    <w:p>
      <w:r>
        <w:rPr>
          <w:rFonts w:ascii="Arial" w:hAnsi="Arial" w:eastAsia="Arial"/>
          <w:b/>
          <w:color w:val="000000"/>
          <w:sz w:val="18"/>
        </w:rPr>
        <w:t xml:space="preserve">Verified primary/official link: </w:t>
      </w:r>
      <w:hyperlink r:id="rId21">
        <w:r>
          <w:rPr>
            <w:color w:val="000000"/>
            <w:u w:val="single"/>
          </w:rPr>
          <w:t>https://dergipark.org.tr/en/pub/jsr-a/article/1219363</w:t>
        </w:r>
      </w:hyperlink>
    </w:p>
    <w:p>
      <w:pPr>
        <w:pStyle w:val="Heading3"/>
      </w:pPr>
      <w:r>
        <w:rPr>
          <w:rFonts w:ascii="Arial" w:hAnsi="Arial" w:eastAsia="Arial"/>
          <w:b/>
          <w:color w:val="000000"/>
          <w:sz w:val="23"/>
        </w:rPr>
        <w:t>4 — Transfer Learning with Deep Convolutional Neural Network (CNN) for Pneumonia Detection Using Chest X-ray</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Tawsifur Rahman; Muhammad E. H. Chowdhury; Amith Khandakar; Khandaker R. Islam; Khandaker F. Islam; Zaid B. Mahbub; Muhammad A. Kadir; Saad Kashem | 2020</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Applied Sciences 10(9):3233 | 10.3390/app10093233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Evaluate transfer-learning CNNs for Normal, Bacterial Pneumonia, and Viral Pneumonia CXR classification.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Compared AlexNet, ResNet18, DenseNet201, and SqueezeNet using 5,247 chest radiographs.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Binary and exact three-class CXR classification | 5,247 pediatric CXRs | AlexNet; ResNet18; DenseNet201; SqueezeNet</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 |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Transfer learning; optimizer: Not reported; LR: Not reported; WD: Not reported; batch: Not reported; epochs: Not reported; loss: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98% Normal-versus-Pneumonia accuracy; 95% Bacterial-versus-Viral accuracy; 93.3% exact three-class accuracy.</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Strong, directly comparable evidence for DenseNet/ResNet transfer learning on the exact label set.</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Does not by itself justify the present optimizer, augmentation, split, or leakage-control protocol.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Direct — Exact task and class labels; directly relevant DenseNet201 and ResNet-family transfer learning.</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Publisher page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Screenshot omitted the exact three-class result; publisher reports 93.3%.</w:t>
            </w:r>
          </w:p>
        </w:tc>
      </w:tr>
    </w:tbl>
    <w:p>
      <w:pPr>
        <w:spacing w:after="40"/>
      </w:pPr>
    </w:p>
    <w:p>
      <w:r>
        <w:rPr>
          <w:rFonts w:ascii="Arial" w:hAnsi="Arial" w:eastAsia="Arial"/>
          <w:b/>
          <w:color w:val="000000"/>
          <w:sz w:val="18"/>
        </w:rPr>
        <w:t xml:space="preserve">Verified primary/official link: </w:t>
      </w:r>
      <w:hyperlink r:id="rId22">
        <w:r>
          <w:rPr>
            <w:color w:val="000000"/>
            <w:u w:val="single"/>
          </w:rPr>
          <w:t>https://www.mdpi.com/2076-3417/10/9/3233</w:t>
        </w:r>
      </w:hyperlink>
    </w:p>
    <w:p>
      <w:pPr>
        <w:pStyle w:val="Heading3"/>
      </w:pPr>
      <w:r>
        <w:rPr>
          <w:rFonts w:ascii="Arial" w:hAnsi="Arial" w:eastAsia="Arial"/>
          <w:b/>
          <w:color w:val="000000"/>
          <w:sz w:val="23"/>
        </w:rPr>
        <w:t>3 — Pneumonia Detection in Chest X-ray Images Using an Ensemble of Deep Learning Models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Rohit Kundu; Ritacheta Das; Zong Woo Geem; Gi-Tae Han; Ram Sarkar | 2021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PLOS ONE 16(9):e0256630 | 10.1371/journal.pone.0256630</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Improve binary pneumonia detection through a weighted ensemble.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Five-fold evaluation of weighted GoogLeNet, ResNet18, and DenseNet121 predictions on Kermany and RSNA data.</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Binary CXR classification | Kermany pediatric CXR and RSNA pneumonia data | Weighted GoogLeNet/ResNet18/DenseNet121 ensemble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 |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Not reported; optimizer: Not reported; LR: Not reported; WD: Not reported; batch: Not reported; epochs: Not reported; loss: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Accuracy 98.81% on Kermany and 86.85% on RSNA; sensitivity 98.80% and 87.02%, respectively.</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Weighted complementary CNN predictions outperform individual members.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Binary ensemble evidence does not establish single-model three-class hyperparameters.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Partial — Relevant DenseNet121/ResNet ensemble evidence, but task is binary and method is an ensemble.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Publisher page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w:t>
            </w:r>
          </w:p>
        </w:tc>
      </w:tr>
    </w:tbl>
    <w:p>
      <w:pPr>
        <w:spacing w:after="40"/>
      </w:pPr>
    </w:p>
    <w:p>
      <w:r>
        <w:rPr>
          <w:rFonts w:ascii="Arial" w:hAnsi="Arial" w:eastAsia="Arial"/>
          <w:b/>
          <w:color w:val="000000"/>
          <w:sz w:val="18"/>
        </w:rPr>
        <w:t xml:space="preserve">Verified primary/official link: </w:t>
      </w:r>
      <w:hyperlink r:id="rId23">
        <w:r>
          <w:rPr>
            <w:color w:val="000000"/>
            <w:u w:val="single"/>
          </w:rPr>
          <w:t>https://journals.plos.org/plosone/article?id=10.1371/journal.pone.0256630</w:t>
        </w:r>
      </w:hyperlink>
    </w:p>
    <w:p>
      <w:pPr>
        <w:pStyle w:val="Heading3"/>
      </w:pPr>
      <w:r>
        <w:rPr>
          <w:rFonts w:ascii="Arial" w:hAnsi="Arial" w:eastAsia="Arial"/>
          <w:b/>
          <w:color w:val="000000"/>
          <w:sz w:val="23"/>
        </w:rPr>
        <w:t>11 — Classification of Paediatric Pneumonia Using Modified DenseNet-121 Deep-Learning Model</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 S. Arulananth; S. Wilson Prakash; Ramesh Kumar Ayyasamy; V. P. Kavitha; P. G. Kuppusamy; P. Chinnasamy | 2024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IEEE Access 12:35716-35727 | 10.1109/ACCESS.2024.3371151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Improve pediatric pneumonia classification with a modified DenseNet121.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DenseNet121 modified with batch normalization, max pooling, and dropout; trained on pediatric CXR.</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Binary pediatric CXR classification | Not reported | Modified DenseNet121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 |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Not reported; optimizer: Not reported; LR: Not reported; WD: Not reported; batch: Not reported; epochs: Not reported; loss: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Accuracy 97.03% with strong precision and recall.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Recent DenseNet121-focused pediatric CXR evidence.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Binary task and modified head prevent direct hyperparameter transfer.</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Partial — Relevant DenseNet121 pediatric CXR study, but not the exact three-class task.</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DOAJ publisher metadata; IEEE DOI metadata</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w:t>
            </w:r>
          </w:p>
        </w:tc>
      </w:tr>
    </w:tbl>
    <w:p>
      <w:pPr>
        <w:spacing w:after="40"/>
      </w:pPr>
    </w:p>
    <w:p>
      <w:r>
        <w:rPr>
          <w:rFonts w:ascii="Arial" w:hAnsi="Arial" w:eastAsia="Arial"/>
          <w:b/>
          <w:color w:val="000000"/>
          <w:sz w:val="18"/>
        </w:rPr>
        <w:t xml:space="preserve">Verified primary/official link: </w:t>
      </w:r>
      <w:hyperlink r:id="rId24">
        <w:r>
          <w:rPr>
            <w:color w:val="000000"/>
            <w:u w:val="single"/>
          </w:rPr>
          <w:t>https://doaj.org/article/8d40e456925949dbb8aa0b6b189f8d44</w:t>
        </w:r>
      </w:hyperlink>
    </w:p>
    <w:p>
      <w:pPr>
        <w:pStyle w:val="Heading3"/>
      </w:pPr>
      <w:r>
        <w:rPr>
          <w:rFonts w:ascii="Arial" w:hAnsi="Arial" w:eastAsia="Arial"/>
          <w:b/>
          <w:color w:val="000000"/>
          <w:sz w:val="23"/>
        </w:rPr>
        <w:t>5 — Identifying Pneumonia in Chest X-Rays: A Deep Learning Approach</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Amit Kumar Jaiswal; Prayag Tiwari; Sachin Kumar; Deepak Gupta; Ashish Khanna; Joel J. P. C. Rodrigues | 2019</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Measurement 145:511-518 | 10.1016/j.measurement.2019.05.076</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Identify and localize pneumonia opacities on chest X-rays.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Mask R-CNN with ResNet50 and ResNet101 backbones on RSNA challenge images; ensembled predictions.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CXR opacity detection/localization | RSNA Pneumonia Detection Challenge, about 30,000 training and 4,500 test images | Mask R-CNN; ResNet50/101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 |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Not reported; optimizer: Not reported; LR: Not reported; WD: Not reported; batch: Not reported; epochs: Not reported; loss: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Stage-2 scores reported as 0.183720 (ResNet50), 0.199352 (ResNet101), and 0.218051 (ensemble).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Supports localization/ROI discussion and ResNet backbones.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Detection/localization scores are not classification accuracy and do not determine classifier hyperparameters.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Partial — Relevant CXR localization and ResNet backbones, but not a three-class classifier.</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Publisher page; primary paper PDF</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Replaces the screenshot's unsupported phrase 'strong localization &amp; segmentation accuracy' with the reported challenge scores.</w:t>
            </w:r>
          </w:p>
        </w:tc>
      </w:tr>
    </w:tbl>
    <w:p>
      <w:pPr>
        <w:spacing w:after="40"/>
      </w:pPr>
    </w:p>
    <w:p>
      <w:r>
        <w:rPr>
          <w:rFonts w:ascii="Arial" w:hAnsi="Arial" w:eastAsia="Arial"/>
          <w:b/>
          <w:color w:val="000000"/>
          <w:sz w:val="18"/>
        </w:rPr>
        <w:t xml:space="preserve">Verified primary/official link: </w:t>
      </w:r>
      <w:hyperlink r:id="rId25">
        <w:r>
          <w:rPr>
            <w:color w:val="000000"/>
            <w:u w:val="single"/>
          </w:rPr>
          <w:t>https://www.sciencedirect.com/science/article/pii/S0263224119305202</w:t>
        </w:r>
      </w:hyperlink>
    </w:p>
    <w:p>
      <w:pPr>
        <w:pStyle w:val="Heading3"/>
      </w:pPr>
      <w:r>
        <w:rPr>
          <w:rFonts w:ascii="Arial" w:hAnsi="Arial" w:eastAsia="Arial"/>
          <w:b/>
          <w:color w:val="000000"/>
          <w:sz w:val="23"/>
        </w:rPr>
        <w:t>not yet — V-Net: Fully Convolutional Neural Networks for Volumetric Medical Image Segmentation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Fausto Milletari; Nassir Navab; Seyed-Ahmad Ahmadi | 2016</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2016 Fourth International Conference on 3D Vision (3DV), 565-571 | 10.1109/3DV.2016.79</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Segment the prostate in volumetric MRI.</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3D fully convolutional residual network optimized with Dice loss.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3D prostate MRI segmentation | Volumetric prostate MRI | V-Net</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Nonlinear intensity transformations and histogram matching are discussed |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Not reported; optimizer: Not reported; LR: Not reported; WD: Not reported; batch: Not reported; epochs: Not reported; loss: Dice-based objective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Outperformed compared 2D approaches on the study's volumetric segmentation task.</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Foundational 3D segmentation architecture.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modality, dimensionality, anatomy, task, loss, and output contract.</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Excluded — Volumetric prostate MRI segmentation cannot determine 2D chest-X-ray classification settings.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Official repository; DOI metadata</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w:t>
            </w:r>
          </w:p>
        </w:tc>
      </w:tr>
    </w:tbl>
    <w:p>
      <w:pPr>
        <w:spacing w:after="40"/>
      </w:pPr>
    </w:p>
    <w:p>
      <w:r>
        <w:rPr>
          <w:rFonts w:ascii="Arial" w:hAnsi="Arial" w:eastAsia="Arial"/>
          <w:b/>
          <w:color w:val="000000"/>
          <w:sz w:val="18"/>
        </w:rPr>
        <w:t xml:space="preserve">Verified primary/official link: </w:t>
      </w:r>
      <w:hyperlink r:id="rId26">
        <w:r>
          <w:rPr>
            <w:color w:val="000000"/>
            <w:u w:val="single"/>
          </w:rPr>
          <w:t>https://arxiv.org/abs/1606.04797</w:t>
        </w:r>
      </w:hyperlink>
    </w:p>
    <w:p>
      <w:pPr>
        <w:pStyle w:val="Heading3"/>
      </w:pPr>
      <w:r>
        <w:rPr>
          <w:rFonts w:ascii="Arial" w:hAnsi="Arial" w:eastAsia="Arial"/>
          <w:b/>
          <w:color w:val="000000"/>
          <w:sz w:val="23"/>
        </w:rPr>
        <w:t>2 — FaNet: Fast Assessment Network for COVID-19 Pneumonia Based on 3D CT Imaging and Clinical Symptoms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Zhenxing Huang; Xinfeng Liu; Rongpin Wang; Mudan Zhang; Xianchun Zeng; Jun Liu; Yongfeng Yang; Xin Liu; Hairong Zheng; Dong Liang; Zhanli Hu | 2021 journal issue; online 2020</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Applied Intelligence 51(5):2838-2849 | 10.1007/s10489-020-01965-0</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Combine 3D CT and clinical symptoms to diagnose COVID-19 and assess severity.</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Dual-branch 3D CNN and symptom encoding on 416 patients.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Multimodal COVID-19 diagnosis and severity assessment | 416-patient CT plus clinical-symptom cohort | 3D CNN plus symptom branch</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 |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Not reported; optimizer: Not reported; LR: Not reported; WD: Not reported; batch: Not reported; epochs: Not reported; loss: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98.28% diagnosis accuracy; 94.83% severity accuracy.</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Demonstrates complementary imaging and clinical features.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3D CT, symptom fusion, and COVID severity differ from 2D CXR image-only classification.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Background — Provides multimodal context only and must not set the present image-classifier configuration.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PubMed; Publisher DOI metadata</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Both the online-first 2020 date and 2021 journal issue are preserved.</w:t>
            </w:r>
          </w:p>
        </w:tc>
      </w:tr>
    </w:tbl>
    <w:p>
      <w:pPr>
        <w:spacing w:after="40"/>
      </w:pPr>
    </w:p>
    <w:p>
      <w:r>
        <w:rPr>
          <w:rFonts w:ascii="Arial" w:hAnsi="Arial" w:eastAsia="Arial"/>
          <w:b/>
          <w:color w:val="000000"/>
          <w:sz w:val="18"/>
        </w:rPr>
        <w:t xml:space="preserve">Verified primary/official link: </w:t>
      </w:r>
      <w:hyperlink r:id="rId27">
        <w:r>
          <w:rPr>
            <w:color w:val="000000"/>
            <w:u w:val="single"/>
          </w:rPr>
          <w:t>https://pubmed.ncbi.nlm.nih.gov/34764567/</w:t>
        </w:r>
      </w:hyperlink>
    </w:p>
    <w:p>
      <w:pPr>
        <w:pStyle w:val="Heading3"/>
      </w:pPr>
      <w:r>
        <w:rPr>
          <w:rFonts w:ascii="Arial" w:hAnsi="Arial" w:eastAsia="Arial"/>
          <w:b/>
          <w:color w:val="000000"/>
          <w:sz w:val="23"/>
        </w:rPr>
        <w:t>1 — The Use of AI Systems in Diagnosis of Pneumonia via Signs and Symptoms: A Systematic Review</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Katy Stokes; Rossana Castaldo; Carlo Federici; Silvio Pagliara; Alessia Maccaro; Francesco Cappuccio; Giuseppe Fico; Marco Salvatore; Monica Franzese; Leandro Pecchia | 2022</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Biomedical Signal Processing and Control 72A:103325 | 10.1016/j.bspc.2021.103325</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Review machine-learning pneumonia diagnosis from clinical signs and symptoms rather than imaging.</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PRISMA review: 876 records screened and 16 studies included.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Non-imaging pneumonia prediction | Not reported | Systematic review of symptom-based ML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 |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Not reported; optimizer: Not reported; LR: Not reported; WD: Not reported; batch: Not reported; epochs: Not reported; loss: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Most included models reported greater than 90% accuracy, with substantial inconsistency and heterogeneity.</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Summarizes non-imaging diagnostic approaches and reporting gaps.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an imaging model and not transferable to CXR preprocessing or architecture hyperparameters.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Background — Useful clinical-AI context only; no direct model-configuration evidence for the image classifier.</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Official university repository; Publisher DOI metadata</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w:t>
            </w:r>
          </w:p>
        </w:tc>
      </w:tr>
    </w:tbl>
    <w:p>
      <w:pPr>
        <w:spacing w:after="40"/>
      </w:pPr>
    </w:p>
    <w:p>
      <w:r>
        <w:rPr>
          <w:rFonts w:ascii="Arial" w:hAnsi="Arial" w:eastAsia="Arial"/>
          <w:b/>
          <w:color w:val="000000"/>
          <w:sz w:val="18"/>
        </w:rPr>
        <w:t xml:space="preserve">Verified primary/official link: </w:t>
      </w:r>
      <w:hyperlink r:id="rId28">
        <w:r>
          <w:rPr>
            <w:color w:val="000000"/>
            <w:u w:val="single"/>
          </w:rPr>
          <w:t>https://wrap.warwick.ac.uk/id/eprint/160069/</w:t>
        </w:r>
      </w:hyperlink>
    </w:p>
    <w:p>
      <w:pPr>
        <w:pStyle w:val="Heading3"/>
      </w:pPr>
      <w:r>
        <w:rPr>
          <w:rFonts w:ascii="Arial" w:hAnsi="Arial" w:eastAsia="Arial"/>
          <w:b/>
          <w:color w:val="000000"/>
          <w:sz w:val="23"/>
        </w:rPr>
        <w:t>9 — Combining CNN and Grad-CAM for COVID-19 Disease Prediction and Visual Explanation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Field</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Verified detail</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Authors / year</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Hicham Moujahid; Bouchaib Cherradi; Mohammed Al-Sarem; Lhoussain Bahatti; Bakr Assedik Eljialy; Abdullah Alsaeedi; Faisal Saeed | 2022 journal issue; online 2021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Venue / DOI</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Intelligent Automation &amp; Soft Computing 32(2):723-745 | 10.32604/iasc.2022.022179</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Objective</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Build a three-class respiratory CXR classifier and explain predictions with Grad-CAM.</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Methodology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VGG16, VGG19, and MobileNetV2 with Grad-CAM; 70/15/15 split; 840 COVID, 1,341 Normal, 1,345 Pneumonia images.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Task / dataset / model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Three-class CXR classification: Normal, Pneumonia, COVID-19 | 3,526 CXRs from combined public sources | VGG16; VGG19; MobileNetV2; Grad-CAM</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Preprocessing / augmentation</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Not reported | No augmentation reported/applied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Training details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Weights: Not reported; optimizer: Not reported; LR: Not reported; WD: Not reported; batch: Not reported; epochs: Not reported; loss: Not reported</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Results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Best VGG19: 96.97% accuracy; reported precision 100%, F1 100%, recall 99%.</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Merit</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Provides respiratory-imaging Grad-CAM procedure and examples.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Limitations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Different labels and pooled sources; does not justify DenseNet/ResNet/YOLO training hyperparameters.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Applicability</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Partial — Supports the final explainability workflow, not the present classifier settings.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Source trail</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Supplied image; Publisher page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Corrections</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Both the 2021 online date and 2022 issue year are preserved.</w:t>
            </w:r>
          </w:p>
        </w:tc>
      </w:tr>
    </w:tbl>
    <w:p>
      <w:pPr>
        <w:spacing w:after="40"/>
      </w:pPr>
    </w:p>
    <w:p>
      <w:r>
        <w:rPr>
          <w:rFonts w:ascii="Arial" w:hAnsi="Arial" w:eastAsia="Arial"/>
          <w:b/>
          <w:color w:val="000000"/>
          <w:sz w:val="18"/>
        </w:rPr>
        <w:t xml:space="preserve">Verified primary/official link: </w:t>
      </w:r>
      <w:hyperlink r:id="rId29">
        <w:r>
          <w:rPr>
            <w:color w:val="000000"/>
            <w:u w:val="single"/>
          </w:rPr>
          <w:t>https://www.techscience.com/iasc/v32n2/45598/html</w:t>
        </w:r>
      </w:hyperlink>
    </w:p>
    <w:p>
      <w:pPr>
        <w:pStyle w:val="Heading2"/>
      </w:pPr>
      <w:r>
        <w:rPr>
          <w:rFonts w:ascii="Arial" w:hAnsi="Arial" w:eastAsia="Arial"/>
          <w:b/>
          <w:color w:val="000000"/>
          <w:sz w:val="26"/>
        </w:rPr>
        <w:t>9.2 Additional architecture, preprocessing, validation, and calibration sources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2900"/>
        <w:gridCol w:w="1900"/>
        <w:gridCol w:w="1900"/>
        <w:gridCol w:w="1460"/>
      </w:tblGrid>
      <w:tr>
        <w:trPr>
          <w:cantSplit/>
          <w:tblHeader w:val="true"/>
        </w:trPr>
        <w:tc>
          <w:tcPr>
            <w:tcW w:type="dxa" w:w="1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Reference ID</w:t>
            </w:r>
          </w:p>
        </w:tc>
        <w:tc>
          <w:tcPr>
            <w:tcW w:type="dxa" w:w="2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Authors/year/title</w:t>
            </w:r>
          </w:p>
        </w:tc>
        <w:tc>
          <w:tcPr>
            <w:tcW w:type="dxa" w:w="1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Use in this project</w:t>
            </w:r>
          </w:p>
        </w:tc>
        <w:tc>
          <w:tcPr>
            <w:tcW w:type="dxa" w:w="1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Applicability</w:t>
            </w:r>
          </w:p>
        </w:tc>
        <w:tc>
          <w:tcPr>
            <w:tcW w:type="dxa" w:w="14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2"/>
              </w:rPr>
              <w:t>DOI / official link</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DATA-KERMANY</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Daniel S. Kermany et al. (2018). Identifying Medical Diagnoses and Treatable Diseases by Image-Based Deep Learning</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Primary dataset/task provenance.</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Direct: Primary evidence for the exact labels and source-domain task.</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10.1016/j.cell.2018.02.010 | https://www.sciencedirect.com/science/article/pii/S0092867418301545</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ARCH-DENSENET</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Gao Huang; Zhuang Liu; Laurens van der Maaten; Kilian Q. Weinberger (2017). Densely Connected Convolutional Networks</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Architecture provenance for DenseNet121, DenseNet169, and DenseNet201.</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Background: General architecture paper; supports model identity, not experiment settings.</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reported | https://openaccess.thecvf.com/content_cvpr_2017/html/Huang_Densely_Connected_Convolutional_CVPR_2017_paper.html</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ARCH-RESNET</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Kaiming He; Xiangyu Zhang; Shaoqing Ren; Jian Sun (2016). Deep Residual Learning for Image Recognition</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Architecture provenance for the three ResNet baselines.</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Background: General architecture paper; supports model identity, not experiment settings.</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reported | https://openaccess.thecvf.com/content_cvpr_2016/html/He_Deep_Residual_Learning_CVPR_2016_paper.html</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CXR-CHEXNET</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Pranav Rajpurkar; Jeremy Irvin; Kaylie Zhu; Brandon Yang; Hershel Mehta; Tony Duan; Daisy Ding; Aarti Bagul; Curtis Langlotz; Katie Shpanskaya; Matthew P. Lungren; Andrew Y. Ng (2017). CheXNet: Radiologist-Level Pneumonia Detection on Chest X-Rays with Deep Learning</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Strong chest-radiograph precedent for DenseNet121.</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Directly supports DenseNet on CXR, but not the exact classes or dataset.</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reported | https://arxiv.org/abs/1711.05225</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XAI-GRADCAM</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Ramprasaath R. Selvaraju et al. (2017). Grad-CAM: Visual Explanations from Deep Networks via Gradient-Based Localization</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Primary method reference for final localization heatmaps.</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Directly supports explainability procedures but not classifier hyperparameters.</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reported | https://openaccess.thecvf.com/content_iccv_2017/html/Selvaraju_Grad-CAM_Visual_Explanations_ICCV_2017_paper.html</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PREP-CLAHE</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Anggi Muhammad Rifai; Suwanto Raharjo; Ema Utami; Dhani Ariatmanto (2024 journal issue; online 2023). Analysis for diagnosis of pneumonia symptoms using chest X-ray based on MobileNetV2 models with image enhancement using white balance and contrast limited adaptive histogram equalization (CLAHE)</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Supports a controlled CLAHE ablation on CXR.</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CXR and three-class contrast enhancement are relevant, but the transform is bundled and the model differs.</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10.1016/j.bspc.2023.105857 | https://www.sciencedirect.com/science/article/pii/S1746809423012909</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PREP-HE</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Jose Raniery Ferreira; Diego Armando Cardona Cardenas; Ramon Alfredo Moreno; Marina de Fatima de Sa Rebelo; Jose Eduardo Krieger; Marco Antonio Gutierrez (2020). Multi-View Ensemble Convolutional Neural Network to Improve Classification of Pneumonia in Low Contrast Chest X-Ray Images</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Strong task-specific rationale for a global histogram-equalization ablation.</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Direct: Same CXR source-domain and target distinctions; directly motivates—but does not predetermine—the controlled HE ablation.</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10.1109/EMBC44109.2020.9176517 | https://pubmed.ncbi.nlm.nih.gov/33018211/</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PREP-PSEUDOCOLOR</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Morteza Heidari; Seyedehnafiseh Mirniaharikandehei; Abolfazl Zargari Khuzani; Gopichandh Danala; Yuchen Qiu; Bin Zheng (2020). Improving the performance of CNN to predict the likelihood of COVID-19 using chest X-ray images with preprocessing algorithms</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Shows that information-bearing multi-channel preprocessing can help a related three-class CXR task.</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Related three-class CXR pseudo-color evidence, but the construction is fundamentally different from VIRIDIS.</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10.1016/j.ijmedinf.2020.104284 | https://pubmed.ncbi.nlm.nih.gov/32992136/</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BIAS-SHORTCUT</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Anusua Trivedi; Caleb Robinson; Marian Blazes; Anthony Ortiz; Jocelyn Desbiens; Sunil Gupta; Rahul Dodhia; Pavan K. Bhatraju; W. Conrad Liles; Jayashree Kalpathy-Cramer; Aaron Y. Lee; Juan M. Lavista Ferres (2022). Deep learning models for COVID-19 chest x-ray classification: Preventing shortcut learning using feature disentanglement</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Justifies leakage control, source-aware caution, and validation of enhancements rather than assuming benefit.</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Partial: Directly relevant to CXR shortcut risk and preprocessing interpretation, not to model architecture selection alone.</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10.1371/journal.pone.0274098 | https://pubmed.ncbi.nlm.nih.gov/36201483/</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VALID-CLINICAL</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Jeremy Hofmeister; Nicolas Garin; Xavier Montet; Max Scheffler; Alexandra Platon; Pierre-Alexandre Poletti; Jerome Stirnemann; Marie-Pierre Debray; Yann-Erick Claessens; Xavier Duval; Virginie Prendki (2024). Validating the accuracy of deep learning for the diagnosis of pneumonia on chest x-ray against a robust multimodal reference diagnosis: a post hoc analysis of two prospective studies</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Provides an essential boundary between benchmark performance and clinical diagnostic validity.</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Background: Clinical-translation caution only; it constrains claims, not model configuration.</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10.1186/s41747-023-00416-y | https://pubmed.ncbi.nlm.nih.gov/38302850/</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CALIBRATION</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Chuan Guo; Geoff Pleiss; Yu Sun; Kilian Q. Weinberger (2017). On Calibration of Modern Neural Networks</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Primary evidence for post-hoc temperature scaling and calibration reporting.</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Background: Supports reliability methods but not base classifier hyperparameters.</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reported | https://proceedings.mlr.press/v70/guo17a.html</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IMPL-TORCHVISION</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PyTorch/Torchvision project (torchvision 0.20.1 used by repository). Torchvision DenseNet and ResNet model/weight documentation</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Verifies the exact code/weight source for six baselines.</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Background: Authoritative implementation provenance; no direct medical result.</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reported | https://docs.pytorch.org/vision/0.20/models.html</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IMPL-YOLOV5</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Ultralytics (YOLOv5 v7.0 asset; classification introduced in v6.2). Ultralytics YOLOv5 classification release and repository</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Verifies a genuine classification head and official checkpoint.</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Background: Authoritative implementation provenance only.</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reported | https://github.com/ultralytics/yolov5/releases</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IMPL-YOLOV8</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Ultralytics (Ultralytics 8.3.168 environment; v8.3.0 checkpoint asset). Ultralytics YOLO image-classification documentation and YOLOv8 classification model</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Verifies a genuine classification head, checkpoint, and the tuple-output adapter correction.</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Background: Authoritative implementation provenance only.</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reported | https://docs.ultralytics.com/tasks/classify/</w:t>
            </w:r>
          </w:p>
        </w:tc>
      </w:tr>
      <w:tr>
        <w:trPr>
          <w:cantSplit/>
        </w:trPr>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EXCL-YOLOV10</w:t>
            </w:r>
          </w:p>
        </w:tc>
        <w:tc>
          <w:tcPr>
            <w:tcW w:type="dxa" w:w="2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Ao Wang et al.; THU-MIG (2024). YOLOv10: Real-Time End-to-End Object Detection</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Authoritative evidence for the model's actual supported task.</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Excluded: Detection-only evidence cannot be relabeled as three-class image classification.</w:t>
            </w:r>
          </w:p>
        </w:tc>
        <w:tc>
          <w:tcPr>
            <w:tcW w:type="dxa" w:w="14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2"/>
              </w:rPr>
              <w:t>Not reported | https://github.com/THU-MIG/yolov10</w:t>
            </w:r>
          </w:p>
        </w:tc>
      </w:tr>
    </w:tbl>
    <w:p>
      <w:pPr>
        <w:spacing w:after="40"/>
      </w:pPr>
    </w:p>
    <w:p>
      <w:pPr>
        <w:pStyle w:val="Heading2"/>
      </w:pPr>
      <w:r>
        <w:rPr>
          <w:rFonts w:ascii="Arial" w:hAnsi="Arial" w:eastAsia="Arial"/>
          <w:b/>
          <w:color w:val="000000"/>
          <w:sz w:val="26"/>
        </w:rPr>
        <w:t>9.3 Transferability rules applied</w:t>
      </w:r>
    </w:p>
    <w:p>
      <w:pPr>
        <w:pStyle w:val="ListBullet"/>
      </w:pPr>
      <w:r>
        <w:rPr>
          <w:rFonts w:ascii="Arial" w:hAnsi="Arial" w:eastAsia="Arial"/>
          <w:color w:val="000000"/>
          <w:sz w:val="21"/>
        </w:rPr>
        <w:t>Exact three-class Normal/Viral/Bacterial CXR evidence received highest priority.</w:t>
      </w:r>
    </w:p>
    <w:p>
      <w:pPr>
        <w:pStyle w:val="ListBullet"/>
      </w:pPr>
      <w:r>
        <w:rPr>
          <w:rFonts w:ascii="Arial" w:hAnsi="Arial" w:eastAsia="Arial"/>
          <w:color w:val="000000"/>
          <w:sz w:val="21"/>
        </w:rPr>
        <w:t>Binary CXR, localization, explainability, CT, multimodal, and general architecture evidence was never copied directly into classifier hyperparameters without an applicability explanation.</w:t>
      </w:r>
    </w:p>
    <w:p>
      <w:pPr>
        <w:pStyle w:val="ListBullet"/>
      </w:pPr>
      <w:r>
        <w:rPr>
          <w:rFonts w:ascii="Arial" w:hAnsi="Arial" w:eastAsia="Arial"/>
          <w:color w:val="000000"/>
          <w:sz w:val="21"/>
        </w:rPr>
        <w:t>V-Net was excluded from configuration evidence because it is a 3D prostate MRI segmentation architecture.</w:t>
      </w:r>
    </w:p>
    <w:p>
      <w:pPr>
        <w:pStyle w:val="ListBullet"/>
      </w:pPr>
      <w:r>
        <w:rPr>
          <w:rFonts w:ascii="Arial" w:hAnsi="Arial" w:eastAsia="Arial"/>
          <w:color w:val="000000"/>
          <w:sz w:val="21"/>
        </w:rPr>
        <w:t>Jaiswal/Mask R-CNN supports localization discussion but not classifier settings.</w:t>
      </w:r>
    </w:p>
    <w:p>
      <w:pPr>
        <w:pStyle w:val="ListBullet"/>
      </w:pPr>
      <w:r>
        <w:rPr>
          <w:rFonts w:ascii="Arial" w:hAnsi="Arial" w:eastAsia="Arial"/>
          <w:color w:val="000000"/>
          <w:sz w:val="21"/>
        </w:rPr>
        <w:t>FaNet supports multimodal context only; CT and symptom fusion do not determine 2D CXR preprocessing.</w:t>
      </w:r>
    </w:p>
    <w:p>
      <w:pPr>
        <w:pStyle w:val="ListBullet"/>
      </w:pPr>
      <w:r>
        <w:rPr>
          <w:rFonts w:ascii="Arial" w:hAnsi="Arial" w:eastAsia="Arial"/>
          <w:color w:val="000000"/>
          <w:sz w:val="21"/>
        </w:rPr>
        <w:t>Grad-CAM sources support explanation methods, not training configuration.</w:t>
      </w:r>
    </w:p>
    <w:p>
      <w:pPr>
        <w:pStyle w:val="ListBullet"/>
      </w:pPr>
      <w:r>
        <w:rPr>
          <w:rFonts w:ascii="Arial" w:hAnsi="Arial" w:eastAsia="Arial"/>
          <w:color w:val="000000"/>
          <w:sz w:val="21"/>
        </w:rPr>
        <w:t>The verified pseudo-color paper did not use VIRIDIS; the two techniques were not conflated.</w:t>
      </w:r>
    </w:p>
    <w:p>
      <w:r>
        <w:br w:type="page"/>
      </w:r>
    </w:p>
    <w:p>
      <w:pPr>
        <w:pStyle w:val="Heading1"/>
      </w:pPr>
      <w:r>
        <w:rPr>
          <w:rFonts w:ascii="Arial" w:hAnsi="Arial" w:eastAsia="Arial"/>
          <w:b/>
          <w:color w:val="000000"/>
          <w:sz w:val="32"/>
        </w:rPr>
        <w:t>10. Limitations, Reproducibility, and Audit Trail</w:t>
      </w:r>
    </w:p>
    <w:p>
      <w:pPr>
        <w:pStyle w:val="ListBullet"/>
      </w:pPr>
      <w:r>
        <w:rPr>
          <w:rFonts w:ascii="Arial" w:hAnsi="Arial" w:eastAsia="Arial"/>
          <w:color w:val="000000"/>
          <w:sz w:val="21"/>
        </w:rPr>
        <w:t>Single public pediatric dataset/source domain; no external hospital validation.</w:t>
      </w:r>
    </w:p>
    <w:p>
      <w:pPr>
        <w:pStyle w:val="ListBullet"/>
      </w:pPr>
      <w:r>
        <w:rPr>
          <w:rFonts w:ascii="Arial" w:hAnsi="Arial" w:eastAsia="Arial"/>
          <w:color w:val="000000"/>
          <w:sz w:val="21"/>
        </w:rPr>
        <w:t>Labels are dataset annotations, not a new multimodal clinical reference standard.</w:t>
      </w:r>
    </w:p>
    <w:p>
      <w:pPr>
        <w:pStyle w:val="ListBullet"/>
      </w:pPr>
      <w:r>
        <w:rPr>
          <w:rFonts w:ascii="Arial" w:hAnsi="Arial" w:eastAsia="Arial"/>
          <w:color w:val="000000"/>
          <w:sz w:val="21"/>
        </w:rPr>
        <w:t>Validation was used repeatedly for architecture, preprocessing, and tuning selection; final test remains the only held-out estimate.</w:t>
      </w:r>
    </w:p>
    <w:p>
      <w:pPr>
        <w:pStyle w:val="ListBullet"/>
      </w:pPr>
      <w:r>
        <w:rPr>
          <w:rFonts w:ascii="Arial" w:hAnsi="Arial" w:eastAsia="Arial"/>
          <w:color w:val="000000"/>
          <w:sz w:val="21"/>
        </w:rPr>
        <w:t>Group derivation is conservative and filename/hash-based because explicit patient IDs were unavailable.</w:t>
      </w:r>
    </w:p>
    <w:p>
      <w:pPr>
        <w:pStyle w:val="ListBullet"/>
      </w:pPr>
      <w:r>
        <w:rPr>
          <w:rFonts w:ascii="Arial" w:hAnsi="Arial" w:eastAsia="Arial"/>
          <w:color w:val="000000"/>
          <w:sz w:val="21"/>
        </w:rPr>
        <w:t>Center cropping can remove peripheral content from extreme aspect ratios.</w:t>
      </w:r>
    </w:p>
    <w:p>
      <w:pPr>
        <w:pStyle w:val="ListBullet"/>
      </w:pPr>
      <w:r>
        <w:rPr>
          <w:rFonts w:ascii="Arial" w:hAnsi="Arial" w:eastAsia="Arial"/>
          <w:color w:val="000000"/>
          <w:sz w:val="21"/>
        </w:rPr>
        <w:t>Horizontal flip moves laterality markers; rotation creates black corner fill.</w:t>
      </w:r>
    </w:p>
    <w:p>
      <w:pPr>
        <w:pStyle w:val="ListBullet"/>
      </w:pPr>
      <w:r>
        <w:rPr>
          <w:rFonts w:ascii="Arial" w:hAnsi="Arial" w:eastAsia="Arial"/>
          <w:color w:val="000000"/>
          <w:sz w:val="21"/>
        </w:rPr>
        <w:t>ImageNet normalization is retained even for enhanced intensity distributions.</w:t>
      </w:r>
    </w:p>
    <w:p>
      <w:pPr>
        <w:pStyle w:val="ListBullet"/>
      </w:pPr>
      <w:r>
        <w:rPr>
          <w:rFonts w:ascii="Arial" w:hAnsi="Arial" w:eastAsia="Arial"/>
          <w:color w:val="000000"/>
          <w:sz w:val="21"/>
        </w:rPr>
        <w:t>The preprocessing bootstrap interval is descriptive on the selection set.</w:t>
      </w:r>
    </w:p>
    <w:p>
      <w:pPr>
        <w:pStyle w:val="ListBullet"/>
      </w:pPr>
      <w:r>
        <w:rPr>
          <w:rFonts w:ascii="Arial" w:hAnsi="Arial" w:eastAsia="Arial"/>
          <w:color w:val="000000"/>
          <w:sz w:val="21"/>
        </w:rPr>
        <w:t>Grad-CAM is qualitative and can highlight non-causal or non-clinical regions.</w:t>
      </w:r>
    </w:p>
    <w:p>
      <w:pPr>
        <w:pStyle w:val="ListBullet"/>
      </w:pPr>
      <w:r>
        <w:rPr>
          <w:rFonts w:ascii="Arial" w:hAnsi="Arial" w:eastAsia="Arial"/>
          <w:color w:val="000000"/>
          <w:sz w:val="21"/>
        </w:rPr>
        <w:t>Local latency/VRAM results depend on this Windows/RTX 2050 environment.</w:t>
      </w:r>
    </w:p>
    <w:p>
      <w:pPr>
        <w:pStyle w:val="ListBullet"/>
      </w:pPr>
      <w:r>
        <w:rPr>
          <w:rFonts w:ascii="Arial" w:hAnsi="Arial" w:eastAsia="Arial"/>
          <w:color w:val="000000"/>
          <w:sz w:val="21"/>
        </w:rPr>
        <w:t>No YOLOv10 classifier, PCA, FILM, SAS tuning, or automated grading result was fabricated.</w:t>
      </w:r>
    </w:p>
    <w:p>
      <w:pPr>
        <w:pStyle w:val="Heading2"/>
      </w:pPr>
      <w:r>
        <w:rPr>
          <w:rFonts w:ascii="Arial" w:hAnsi="Arial" w:eastAsia="Arial"/>
          <w:b/>
          <w:color w:val="000000"/>
          <w:sz w:val="26"/>
        </w:rPr>
        <w:t>10.1 Environment</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0"/>
        <w:gridCol w:w="6560"/>
      </w:tblGrid>
      <w:tr>
        <w:trPr>
          <w:cantSplit/>
          <w:tblHeader w:val="true"/>
        </w:trPr>
        <w:tc>
          <w:tcPr>
            <w:tcW w:type="dxa" w:w="2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Component</w:t>
            </w:r>
          </w:p>
        </w:tc>
        <w:tc>
          <w:tcPr>
            <w:tcW w:type="dxa" w:w="65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Version/value</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Python</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3.12.6</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PyTorch</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2.5.1+cu121</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Torchvision</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0.20.1+cu121</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Ultralytics</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8.3.168</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CUDA / cuDNN</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12.1 / 90100</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GPU</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NVIDIA GeForce RTX 2050</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VRAM</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4,294,443,008 bytes</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Manifest hash</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3b815cf769c85658a04748da5eb2e15b981b89d9c9b77a404e90fe23473d2774</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config hash</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34b95e1f554f0ef2a4efa9e88c20bf5d3bd93ae8e135c72ef3b18b086c39c988</w:t>
            </w:r>
          </w:p>
        </w:tc>
      </w:tr>
      <w:tr>
        <w:trPr>
          <w:cantSplit/>
        </w:trPr>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Repository tests</w:t>
            </w:r>
          </w:p>
        </w:tc>
        <w:tc>
          <w:tcPr>
            <w:tcW w:type="dxa" w:w="6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12 passed before full continuation runs</w:t>
            </w:r>
          </w:p>
        </w:tc>
      </w:tr>
    </w:tbl>
    <w:p>
      <w:pPr>
        <w:spacing w:after="40"/>
      </w:pPr>
    </w:p>
    <w:p>
      <w:pPr>
        <w:pStyle w:val="Heading2"/>
      </w:pPr>
      <w:r>
        <w:rPr>
          <w:rFonts w:ascii="Arial" w:hAnsi="Arial" w:eastAsia="Arial"/>
          <w:b/>
          <w:color w:val="000000"/>
          <w:sz w:val="26"/>
        </w:rPr>
        <w:t>10.2 Resume and generation commands</w:t>
      </w:r>
    </w:p>
    <w:p>
      <w:r>
        <w:rPr>
          <w:rFonts w:ascii="Arial" w:hAnsi="Arial" w:eastAsia="Arial"/>
          <w:color w:val="000000"/>
          <w:sz w:val="21"/>
        </w:rPr>
        <w:t>.venv\Scripts\python.exe model\scripts\run_benchmark.py --stage preprocessing_ablation --resume</w:t>
      </w:r>
    </w:p>
    <w:p>
      <w:r>
        <w:rPr>
          <w:rFonts w:ascii="Arial" w:hAnsi="Arial" w:eastAsia="Arial"/>
          <w:color w:val="000000"/>
          <w:sz w:val="21"/>
        </w:rPr>
        <w:t>.venv\Scripts\python.exe model\scripts\resolve_run_matrix.py --stage focused</w:t>
      </w:r>
    </w:p>
    <w:p>
      <w:r>
        <w:rPr>
          <w:rFonts w:ascii="Arial" w:hAnsi="Arial" w:eastAsia="Arial"/>
          <w:color w:val="000000"/>
          <w:sz w:val="21"/>
        </w:rPr>
        <w:t>.venv\Scripts\python.exe model\scripts\resolve_run_matrix.py --stage tuning</w:t>
      </w:r>
    </w:p>
    <w:p>
      <w:r>
        <w:rPr>
          <w:rFonts w:ascii="Arial" w:hAnsi="Arial" w:eastAsia="Arial"/>
          <w:color w:val="000000"/>
          <w:sz w:val="21"/>
        </w:rPr>
        <w:t>.venv\Scripts\python.exe model\scripts\run_tuning.py --matrix-run-id tuning_topN --parent-run-id PARENT --trials 4 --epochs 6 --resume</w:t>
      </w:r>
    </w:p>
    <w:p>
      <w:r>
        <w:rPr>
          <w:rFonts w:ascii="Arial" w:hAnsi="Arial" w:eastAsia="Arial"/>
          <w:color w:val="000000"/>
          <w:sz w:val="21"/>
        </w:rPr>
        <w:t>.venv\Scripts\python.exe model\scripts\resolve_run_matrix.py --stage robustness</w:t>
      </w:r>
    </w:p>
    <w:p>
      <w:r>
        <w:rPr>
          <w:rFonts w:ascii="Arial" w:hAnsi="Arial" w:eastAsia="Arial"/>
          <w:color w:val="000000"/>
          <w:sz w:val="21"/>
        </w:rPr>
        <w:t>.venv\Scripts\python.exe model\scripts\run_benchmark.py --stage robustness --config model\configs\final_selected.json --resume</w:t>
      </w:r>
    </w:p>
    <w:p>
      <w:r>
        <w:rPr>
          <w:rFonts w:ascii="Arial" w:hAnsi="Arial" w:eastAsia="Arial"/>
          <w:color w:val="000000"/>
          <w:sz w:val="21"/>
        </w:rPr>
        <w:t>.venv\Scripts\python.exe model\scripts\resolve_run_matrix.py --stage test</w:t>
      </w:r>
    </w:p>
    <w:p>
      <w:r>
        <w:rPr>
          <w:rFonts w:ascii="Arial" w:hAnsi="Arial" w:eastAsia="Arial"/>
          <w:color w:val="000000"/>
          <w:sz w:val="21"/>
        </w:rPr>
        <w:t>Use the single command recorded in model/results/final_selection.json for explicitly unlocked test evaluation.</w:t>
      </w:r>
    </w:p>
    <w:p>
      <w:r>
        <w:rPr>
          <w:rFonts w:ascii="Arial" w:hAnsi="Arial" w:eastAsia="Arial"/>
          <w:color w:val="000000"/>
          <w:sz w:val="21"/>
        </w:rPr>
        <w:t>.venv\Scripts\python.exe model\scripts\generate_gradcam_review.py</w:t>
      </w:r>
    </w:p>
    <w:p>
      <w:r>
        <w:rPr>
          <w:rFonts w:ascii="Arial" w:hAnsi="Arial" w:eastAsia="Arial"/>
          <w:color w:val="000000"/>
          <w:sz w:val="21"/>
        </w:rPr>
        <w:t>.venv\Scripts\python.exe model\scripts\calibrate_final_model.py</w:t>
      </w:r>
    </w:p>
    <w:p>
      <w:r>
        <w:rPr>
          <w:rFonts w:ascii="Arial" w:hAnsi="Arial" w:eastAsia="Arial"/>
          <w:color w:val="000000"/>
          <w:sz w:val="21"/>
        </w:rPr>
        <w:t>.venv\Scripts\python.exe model\scripts\measure_final_efficiency.py</w:t>
      </w:r>
    </w:p>
    <w:p>
      <w:pPr>
        <w:pStyle w:val="Heading2"/>
      </w:pPr>
      <w:r>
        <w:rPr>
          <w:rFonts w:ascii="Arial" w:hAnsi="Arial" w:eastAsia="Arial"/>
          <w:b/>
          <w:color w:val="000000"/>
          <w:sz w:val="26"/>
        </w:rPr>
        <w:t>10.3 Preserved resolved failures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1000"/>
        <w:gridCol w:w="5960"/>
      </w:tblGrid>
      <w:tr>
        <w:trPr>
          <w:cantSplit/>
          <w:tblHeader w:val="true"/>
        </w:trPr>
        <w:tc>
          <w:tcPr>
            <w:tcW w:type="dxa" w:w="2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Historical row</w:t>
            </w:r>
          </w:p>
        </w:tc>
        <w:tc>
          <w:tcPr>
            <w:tcW w:type="dxa" w:w="1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Resolved?</w:t>
            </w:r>
          </w:p>
        </w:tc>
        <w:tc>
          <w:tcPr>
            <w:tcW w:type="dxa" w:w="59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Evidence</w:t>
            </w:r>
          </w:p>
        </w:tc>
      </w:tr>
      <w:tr>
        <w:trPr>
          <w:cantSplit/>
        </w:trPr>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smoke_resume_contract</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true</w:t>
            </w:r>
          </w:p>
        </w:tc>
        <w:tc>
          <w:tcPr>
            <w:tcW w:type="dxa" w:w="59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CONTROLLED-RESUME-CONTRACT: KeyboardInterrupt — controlled interruption after epoch 1</w:t>
            </w:r>
          </w:p>
        </w:tc>
      </w:tr>
      <w:tr>
        <w:trPr>
          <w:cantSplit/>
        </w:trPr>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smoke_yolov8_cls_e2e</w:t>
            </w:r>
          </w:p>
        </w:tc>
        <w:tc>
          <w:tcPr>
            <w:tcW w:type="dxa" w:w="1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true</w:t>
            </w:r>
          </w:p>
        </w:tc>
        <w:tc>
          <w:tcPr>
            <w:tcW w:type="dxa" w:w="59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ISSUE-006: AttributeError — 'tuple' object has no attribute 'shape'</w:t>
            </w:r>
          </w:p>
        </w:tc>
      </w:tr>
    </w:tbl>
    <w:p>
      <w:pPr>
        <w:spacing w:after="40"/>
      </w:pPr>
    </w:p>
    <w:p>
      <w:r>
        <w:rPr>
          <w:rFonts w:ascii="Arial" w:hAnsi="Arial" w:eastAsia="Arial"/>
          <w:color w:val="000000"/>
          <w:sz w:val="21"/>
        </w:rPr>
        <w:t>The controlled resume interruption later completed epoch 2 from its checkpoint. The original YOLOv8 tuple-output failure was corrected by a classification-logits adapter and verified by completed retries. Original failure rows remain in the ledger with resolution identifiers.</w:t>
      </w:r>
    </w:p>
    <w:p>
      <w:pPr>
        <w:keepLines/>
        <w:spacing w:before="80" w:after="160"/>
        <w:pBdr>
          <w:bottom w:val="single" w:sz="6" w:space="1" w:color="000000"/>
        </w:pBdr>
      </w:pPr>
      <w:r>
        <w:rPr>
          <w:rFonts w:ascii="Arial" w:hAnsi="Arial" w:eastAsia="Arial"/>
          <w:b/>
          <w:color w:val="000000"/>
          <w:sz w:val="20"/>
        </w:rPr>
        <w:t>End of research-complete report. Machine-readable evidence remains authoritative for exact values; this document summarizes those persisted artifacts without inventing missing results.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000000"/>
        <w:sz w:val="17"/>
      </w:rPr>
      <w:t xml:space="preserve">Page </w:t>
    </w:r>
    <w:r>
      <w:rPr>
        <w:rFonts w:ascii="Arial" w:hAnsi="Arial" w:eastAsia="Arial"/>
        <w:color w:val="00000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1" w:color="000000"/>
      </w:pBdr>
    </w:pPr>
    <w:r>
      <w:rPr>
        <w:rFonts w:ascii="Arial" w:hAnsi="Arial" w:eastAsia="Arial"/>
        <w:b/>
        <w:color w:val="000000"/>
        <w:sz w:val="17"/>
      </w:rPr>
      <w:t>Pneumonia Three-Class Classification | Training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b w:val="0"/>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b w:val="0"/>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160" w:line="240" w:lineRule="auto" w:before="0"/>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Arial" w:hAnsi="Arial" w:eastAsia="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pos="720" w:val="left"/>
      </w:tabs>
      <w:spacing w:before="0" w:after="100" w:line="264" w:lineRule="auto"/>
      <w:ind w:left="720" w:hanging="360"/>
      <w:contextualSpacing/>
    </w:pPr>
    <w:rPr>
      <w:rFonts w:ascii="Arial" w:hAnsi="Arial" w:eastAsia="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pos="720" w:val="left"/>
      </w:tabs>
      <w:spacing w:before="0" w:after="100" w:line="264" w:lineRule="auto"/>
      <w:ind w:left="720" w:hanging="360"/>
      <w:contextualSpacing/>
    </w:pPr>
    <w:rPr>
      <w:rFonts w:ascii="Arial" w:hAnsi="Arial" w:eastAsia="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EFEFE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EFEFE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EFEFE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EFEFE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EFEFE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EFEFE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EFEFE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EFEFE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EFEFE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EFEFE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EFEFE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EFEFE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1"/>
          <w:insideV w:val="single" w:sz="6" w:space="0" w:color="000000"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2"/>
          <w:insideV w:val="single" w:sz="6" w:space="0" w:color="000000"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3"/>
          <w:insideV w:val="single" w:sz="6" w:space="0" w:color="000000"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4"/>
          <w:insideV w:val="single" w:sz="6" w:space="0" w:color="000000"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5"/>
          <w:insideV w:val="single" w:sz="6" w:space="0" w:color="000000"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6"/>
          <w:insideV w:val="single" w:sz="6" w:space="0" w:color="000000"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00000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EFEFE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EFEFE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EFEFE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EFEFE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EFEFE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EFEFE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EFEFE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EFEFE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EFEFE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EFEFE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EFEFE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EFEFE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1"/>
          <w:insideV w:val="single" w:sz="6" w:space="0" w:color="000000"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2"/>
          <w:insideV w:val="single" w:sz="6" w:space="0" w:color="000000"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3"/>
          <w:insideV w:val="single" w:sz="6" w:space="0" w:color="000000"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4"/>
          <w:insideV w:val="single" w:sz="6" w:space="0" w:color="000000"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5"/>
          <w:insideV w:val="single" w:sz="6" w:space="0" w:color="000000"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6"/>
          <w:insideV w:val="single" w:sz="6" w:space="0" w:color="000000"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00000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mdpi.com/2079-9292/10/13/1512" TargetMode="External"/><Relationship Id="rId21" Type="http://schemas.openxmlformats.org/officeDocument/2006/relationships/hyperlink" Target="https://dergipark.org.tr/en/pub/jsr-a/article/1219363" TargetMode="External"/><Relationship Id="rId22" Type="http://schemas.openxmlformats.org/officeDocument/2006/relationships/hyperlink" Target="https://www.mdpi.com/2076-3417/10/9/3233" TargetMode="External"/><Relationship Id="rId23" Type="http://schemas.openxmlformats.org/officeDocument/2006/relationships/hyperlink" Target="https://journals.plos.org/plosone/article?id=10.1371/journal.pone.0256630" TargetMode="External"/><Relationship Id="rId24" Type="http://schemas.openxmlformats.org/officeDocument/2006/relationships/hyperlink" Target="https://doaj.org/article/8d40e456925949dbb8aa0b6b189f8d44" TargetMode="External"/><Relationship Id="rId25" Type="http://schemas.openxmlformats.org/officeDocument/2006/relationships/hyperlink" Target="https://www.sciencedirect.com/science/article/pii/S0263224119305202" TargetMode="External"/><Relationship Id="rId26" Type="http://schemas.openxmlformats.org/officeDocument/2006/relationships/hyperlink" Target="https://arxiv.org/abs/1606.04797" TargetMode="External"/><Relationship Id="rId27" Type="http://schemas.openxmlformats.org/officeDocument/2006/relationships/hyperlink" Target="https://pubmed.ncbi.nlm.nih.gov/34764567/" TargetMode="External"/><Relationship Id="rId28" Type="http://schemas.openxmlformats.org/officeDocument/2006/relationships/hyperlink" Target="https://wrap.warwick.ac.uk/id/eprint/160069/" TargetMode="External"/><Relationship Id="rId29" Type="http://schemas.openxmlformats.org/officeDocument/2006/relationships/hyperlink" Target="https://www.techscience.com/iasc/v32n2/4559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Model Training Details - Research Complete</dc:title>
  <dc:subject>Data preparation, preprocessing, augmentation, training, validation, locked-test results, explainability, and verified RRL</dc:subject>
  <dc:creator>Pneumonia Research Pipeline</dc:creator>
  <cp:keywords>pneumonia, chest X-ray, DenseNet, ResNet, YOLO classification, CLAHE, Grad-CAM</cp:keywords>
  <dc:description>generated by python-docx</dc:description>
  <cp:lastModifiedBy/>
  <cp:revision>1</cp:revision>
  <dcterms:created xsi:type="dcterms:W3CDTF">2013-12-23T23:15:00Z</dcterms:created>
  <dcterms:modified xsi:type="dcterms:W3CDTF">2013-12-23T23:15:00Z</dcterms:modified>
  <cp:category/>
</cp:coreProperties>
</file>