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40"/>
      </w:pPr>
    </w:p>
    <w:p>
      <w:pPr>
        <w:spacing w:after="320"/>
        <w:jc w:val="center"/>
      </w:pPr>
      <w:r>
        <w:rPr>
          <w:rFonts w:ascii="Arial" w:hAnsi="Arial" w:eastAsia="Arial"/>
          <w:b/>
          <w:color w:val="000000"/>
          <w:sz w:val="20"/>
        </w:rPr>
        <w:t>THREE-CLASS CHEST X-RAY RESEARCH REPORT</w:t>
      </w:r>
    </w:p>
    <w:p>
      <w:pPr>
        <w:pStyle w:val="Title"/>
        <w:jc w:val="center"/>
      </w:pPr>
      <w:r>
        <w:rPr>
          <w:rFonts w:ascii="Arial" w:hAnsi="Arial" w:eastAsia="Arial"/>
          <w:b/>
          <w:color w:val="000000"/>
          <w:sz w:val="56"/>
        </w:rPr>
        <w:t>Pneumonia Model Training Details</w:t>
      </w:r>
    </w:p>
    <w:p>
      <w:pPr>
        <w:pStyle w:val="Subtitle"/>
        <w:jc w:val="center"/>
      </w:pPr>
      <w:r>
        <w:rPr>
          <w:rFonts w:ascii="Arial" w:hAnsi="Arial" w:eastAsia="Arial"/>
          <w:color w:val="000000"/>
          <w:sz w:val="28"/>
        </w:rPr>
        <w:t>Data preparation, augmentation, training configuration, and verified validation results</w:t>
      </w:r>
    </w:p>
    <w:p>
      <w:pPr>
        <w:spacing w:before="240" w:after="480"/>
        <w:pBdr>
          <w:bottom w:val="single" w:sz="12" w:space="1" w:color="000000"/>
        </w:pBdr>
      </w:pPr>
    </w:p>
    <w:p>
      <w:pPr>
        <w:spacing w:after="1440"/>
        <w:jc w:val="center"/>
      </w:pPr>
      <w:r>
        <w:rPr>
          <w:rFonts w:ascii="Arial" w:hAnsi="Arial" w:eastAsia="Arial"/>
          <w:b/>
          <w:color w:val="000000"/>
          <w:sz w:val="22"/>
        </w:rPr>
        <w:t>8 completed full baseline models | Later research stages pending | Locked test set sealed</w:t>
      </w:r>
    </w:p>
    <w:p>
      <w:pPr>
        <w:spacing w:after="80"/>
        <w:jc w:val="center"/>
      </w:pPr>
      <w:r>
        <w:rPr>
          <w:rFonts w:ascii="Arial" w:hAnsi="Arial" w:eastAsia="Arial"/>
          <w:color w:val="000000"/>
          <w:sz w:val="20"/>
        </w:rPr>
        <w:t>Snapshot generated July 20, 2026 at 06:44 PM Malay Peninsula Standard Time</w:t>
      </w:r>
    </w:p>
    <w:p>
      <w:pPr>
        <w:jc w:val="center"/>
      </w:pPr>
      <w:r>
        <w:rPr>
          <w:rFonts w:ascii="Arial" w:hAnsi="Arial" w:eastAsia="Arial"/>
          <w:b/>
          <w:color w:val="000000"/>
          <w:sz w:val="19"/>
        </w:rPr>
        <w:t>Research use only - not validated for clinical deployment</w:t>
      </w:r>
    </w:p>
    <w:p>
      <w:r>
        <w:br w:type="page"/>
      </w:r>
    </w:p>
    <w:p>
      <w:pPr>
        <w:pStyle w:val="Heading1"/>
      </w:pPr>
      <w:r>
        <w:rPr>
          <w:rFonts w:ascii="Arial" w:hAnsi="Arial" w:eastAsia="Arial"/>
          <w:b/>
          <w:color w:val="000000"/>
          <w:sz w:val="32"/>
        </w:rPr>
        <w:t>1. Executive Summary</w:t>
      </w:r>
    </w:p>
    <w:p>
      <w:r>
        <w:rPr>
          <w:rFonts w:ascii="Arial" w:hAnsi="Arial" w:eastAsia="Arial"/>
          <w:color w:val="000000"/>
          <w:sz w:val="21"/>
        </w:rPr>
        <w:t>At this snapshot, 8 full baseline architectures have completed controlled validation training: DenseNet121, DenseNet169, DenseNet201, ResNet50, ResNet101, ResNet152, YOLOv5 classification, YOLOv8 classification. Smoke tests and the one-epoch pilot are excluded from this count because they only validate the pipeline.</w:t>
      </w:r>
    </w:p>
    <w:p>
      <w:pPr>
        <w:pStyle w:val="ListBullet"/>
      </w:pPr>
      <w:r>
        <w:rPr>
          <w:rFonts w:ascii="Arial" w:hAnsi="Arial" w:eastAsia="Arial"/>
          <w:color w:val="000000"/>
          <w:sz w:val="21"/>
        </w:rPr>
        <w:t>Best validation macro F1: DenseNet169 at 84.03%.</w:t>
      </w:r>
    </w:p>
    <w:p>
      <w:pPr>
        <w:pStyle w:val="ListBullet"/>
      </w:pPr>
      <w:r>
        <w:rPr>
          <w:rFonts w:ascii="Arial" w:hAnsi="Arial" w:eastAsia="Arial"/>
          <w:color w:val="000000"/>
          <w:sz w:val="21"/>
        </w:rPr>
        <w:t>Fastest measured batch-1 inference: YOLOv8 classification at 204.2 images/second.</w:t>
      </w:r>
    </w:p>
    <w:p>
      <w:pPr>
        <w:pStyle w:val="ListBullet"/>
      </w:pPr>
      <w:r>
        <w:rPr>
          <w:rFonts w:ascii="Arial" w:hAnsi="Arial" w:eastAsia="Arial"/>
          <w:color w:val="000000"/>
          <w:sz w:val="21"/>
        </w:rPr>
        <w:t>Lowest expected calibration error among completed baselines: ResNet50 at 4.89%.</w:t>
      </w:r>
    </w:p>
    <w:p>
      <w:pPr>
        <w:pStyle w:val="ListBullet"/>
      </w:pPr>
      <w:r>
        <w:rPr>
          <w:rFonts w:ascii="Arial" w:hAnsi="Arial" w:eastAsia="Arial"/>
          <w:color w:val="000000"/>
          <w:sz w:val="21"/>
        </w:rPr>
        <w:t>Recorded training time across the eight completed baselines: 7.80 GPU-hours, executed sequentially on the RTX 2050.</w:t>
      </w:r>
    </w:p>
    <w:p>
      <w:pPr>
        <w:pStyle w:val="ListBullet"/>
      </w:pPr>
      <w:r>
        <w:rPr>
          <w:rFonts w:ascii="Arial" w:hAnsi="Arial" w:eastAsia="Arial"/>
          <w:color w:val="000000"/>
          <w:sz w:val="21"/>
        </w:rPr>
        <w:t>The most difficult class is Viral Pneumonia. Completed models achieve much stronger recall for Normal and Bacterial cases than for Viral cases.</w:t>
      </w:r>
    </w:p>
    <w:p>
      <w:pPr>
        <w:pStyle w:val="ListBullet"/>
      </w:pPr>
      <w:r>
        <w:rPr>
          <w:rFonts w:ascii="Arial" w:hAnsi="Arial" w:eastAsia="Arial"/>
          <w:color w:val="000000"/>
          <w:sz w:val="21"/>
        </w:rPr>
        <w:t>YOLOv5 and YOLOv8 classification baselines completed successfully. Both were faster and smaller than the torchvision CNNs, but both produced lower validation macro F1.</w:t>
      </w:r>
    </w:p>
    <w:p>
      <w:pPr>
        <w:pStyle w:val="ListBullet"/>
      </w:pPr>
      <w:r>
        <w:rPr>
          <w:rFonts w:ascii="Arial" w:hAnsi="Arial" w:eastAsia="Arial"/>
          <w:color w:val="000000"/>
          <w:sz w:val="21"/>
        </w:rPr>
        <w:t>YOLOv10 classification is unsupported because the installed Ultralytics release has no genuine YOLOv10 classification head/checkpoint.</w:t>
      </w:r>
    </w:p>
    <w:p>
      <w:pPr>
        <w:pStyle w:val="ListBullet"/>
      </w:pPr>
      <w:r>
        <w:rPr>
          <w:rFonts w:ascii="Arial" w:hAnsi="Arial" w:eastAsia="Arial"/>
          <w:color w:val="000000"/>
          <w:sz w:val="21"/>
        </w:rPr>
        <w:t>The full baseline stage is complete. Preprocessing ablations, focused comparison, Optuna tuning, multi-seed robustness, and final locked-test evaluation have not run.</w:t>
      </w:r>
    </w:p>
    <w:p>
      <w:pPr>
        <w:keepLines/>
        <w:spacing w:before="80" w:after="160"/>
        <w:pBdr>
          <w:bottom w:val="single" w:sz="6" w:space="1" w:color="000000"/>
        </w:pBdr>
      </w:pPr>
      <w:r>
        <w:rPr>
          <w:rFonts w:ascii="Arial" w:hAnsi="Arial" w:eastAsia="Arial"/>
          <w:b/>
          <w:color w:val="000000"/>
          <w:sz w:val="20"/>
        </w:rPr>
        <w:t>Result boundary: every number in the model comparison tables comes from completed validation metrics.json artifacts. No locked-test result is reported or used for selection.</w:t>
      </w:r>
    </w:p>
    <w:p>
      <w:pPr>
        <w:pStyle w:val="Heading2"/>
      </w:pPr>
      <w:r>
        <w:rPr>
          <w:rFonts w:ascii="Arial" w:hAnsi="Arial" w:eastAsia="Arial"/>
          <w:b/>
          <w:color w:val="000000"/>
          <w:sz w:val="26"/>
        </w:rPr>
        <w:t>Status of Requested Model Families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1200"/>
        <w:gridCol w:w="5560"/>
      </w:tblGrid>
      <w:tr>
        <w:trPr>
          <w:cantSplit/>
          <w:tblHeader w:val="true"/>
        </w:trPr>
        <w:tc>
          <w:tcPr>
            <w:tcW w:type="dxa" w:w="2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Architecture</w:t>
            </w:r>
          </w:p>
        </w:tc>
        <w:tc>
          <w:tcPr>
            <w:tcW w:type="dxa" w:w="12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Status</w:t>
            </w:r>
          </w:p>
        </w:tc>
        <w:tc>
          <w:tcPr>
            <w:tcW w:type="dxa" w:w="55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Evidence / boundary</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DenseNet121</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validation metrics available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DenseNet169</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validation metrics available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DenseNet201</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validation metrics available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ResNet50</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validation metrics available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ResNet101</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validation metrics available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ResNet152</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validation metrics available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YOLOv5 classification</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validation metrics available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YOLOv8 classification</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validation metrics available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YOLOv10 classification</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Unsupported</w:t>
            </w:r>
          </w:p>
        </w:tc>
        <w:tc>
          <w:tcPr>
            <w:tcW w:type="dxa" w:w="5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Ultralytics 8.3.168 provides v10Detect YAMLs but no YOLOv10 classification YAML/checkpoint</w:t>
            </w:r>
          </w:p>
        </w:tc>
      </w:tr>
    </w:tbl>
    <w:p>
      <w:pPr>
        <w:spacing w:after="40"/>
      </w:pPr>
    </w:p>
    <w:p>
      <w:pPr>
        <w:pStyle w:val="Heading2"/>
      </w:pPr>
      <w:r>
        <w:rPr>
          <w:rFonts w:ascii="Arial" w:hAnsi="Arial" w:eastAsia="Arial"/>
          <w:b/>
          <w:color w:val="000000"/>
          <w:sz w:val="26"/>
        </w:rPr>
        <w:t>Overall Research Pipeline Progress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1500"/>
        <w:gridCol w:w="48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Stage</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Status</w:t>
            </w:r>
          </w:p>
        </w:tc>
        <w:tc>
          <w:tcPr>
            <w:tcW w:type="dxa" w:w="48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Actual evidence</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Repository, environment, and dataset audit</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w:t>
            </w:r>
          </w:p>
        </w:tc>
        <w:tc>
          <w:tcPr>
            <w:tcW w:type="dxa" w:w="4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Immutable source verified; locked manifests created</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Pipeline implementation and diagnostics</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w:t>
            </w:r>
          </w:p>
        </w:tc>
        <w:tc>
          <w:tcPr>
            <w:tcW w:type="dxa" w:w="4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15 completed pilot/smoke runs; one earlier YOLOv8 smoke failure was corrected by successful retries</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Supported baseline benchmark</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Complete</w:t>
            </w:r>
          </w:p>
        </w:tc>
        <w:tc>
          <w:tcPr>
            <w:tcW w:type="dxa" w:w="4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8/8 controlled baselines completed</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Preprocessing ablation</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Not started</w:t>
            </w:r>
          </w:p>
        </w:tc>
        <w:tc>
          <w:tcPr>
            <w:tcW w:type="dxa" w:w="4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0/3 supported full ablations completed</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Focused comparison and Optuna tuning</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Not started</w:t>
            </w:r>
          </w:p>
        </w:tc>
        <w:tc>
          <w:tcPr>
            <w:tcW w:type="dxa" w:w="4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 focused run or tuning trial exists</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Multi-seed robustness</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Not started</w:t>
            </w:r>
          </w:p>
        </w:tc>
        <w:tc>
          <w:tcPr>
            <w:tcW w:type="dxa" w:w="4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Seeds 42, 123, and 2026 remain planned</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Locked-test evaluation</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Sealed</w:t>
            </w:r>
          </w:p>
        </w:tc>
        <w:tc>
          <w:tcPr>
            <w:tcW w:type="dxa" w:w="4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 test metric exists; test data has not been used for selection</w:t>
            </w:r>
          </w:p>
        </w:tc>
      </w:tr>
    </w:tbl>
    <w:p>
      <w:pPr>
        <w:spacing w:after="40"/>
      </w:pPr>
    </w:p>
    <w:p>
      <w:pPr>
        <w:keepLines/>
        <w:spacing w:before="80" w:after="160"/>
        <w:pBdr>
          <w:bottom w:val="single" w:sz="6" w:space="1" w:color="000000"/>
        </w:pBdr>
      </w:pPr>
      <w:r>
        <w:rPr>
          <w:rFonts w:ascii="Arial" w:hAnsi="Arial" w:eastAsia="Arial"/>
          <w:b/>
          <w:color w:val="000000"/>
          <w:sz w:val="20"/>
        </w:rPr>
        <w:t>Automation boundary: after the baseline stage, the orchestrator stopped because Pneumonia_Research_Progress_Report.docx could not be overwritten while locked. No later experiment was silently executed.</w:t>
      </w:r>
    </w:p>
    <w:p>
      <w:r>
        <w:br w:type="page"/>
      </w:r>
    </w:p>
    <w:p>
      <w:pPr>
        <w:pStyle w:val="Heading1"/>
      </w:pPr>
      <w:r>
        <w:rPr>
          <w:rFonts w:ascii="Arial" w:hAnsi="Arial" w:eastAsia="Arial"/>
          <w:b/>
          <w:color w:val="000000"/>
          <w:sz w:val="32"/>
        </w:rPr>
        <w:t>2. Data Preparation</w:t>
      </w:r>
    </w:p>
    <w:p>
      <w:r>
        <w:rPr>
          <w:rFonts w:ascii="Arial" w:hAnsi="Arial" w:eastAsia="Arial"/>
          <w:color w:val="000000"/>
          <w:sz w:val="21"/>
        </w:rPr>
        <w:t>The source dataset was audited without modifying the original chest_xray directory. Every readable image was inventoried, labeled from folder and filename evidence, hashed, grouped conservatively, and assigned to a locked split manifest.</w:t>
      </w:r>
    </w:p>
    <w:p>
      <w:pPr>
        <w:pStyle w:val="Heading2"/>
      </w:pPr>
      <w:r>
        <w:rPr>
          <w:rFonts w:ascii="Arial" w:hAnsi="Arial" w:eastAsia="Arial"/>
          <w:b/>
          <w:color w:val="000000"/>
          <w:sz w:val="26"/>
        </w:rPr>
        <w:t>Source Inventory and Retention</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00"/>
        <w:gridCol w:w="1600"/>
        <w:gridCol w:w="4560"/>
      </w:tblGrid>
      <w:tr>
        <w:trPr>
          <w:cantSplit/>
          <w:tblHeader w:val="true"/>
        </w:trPr>
        <w:tc>
          <w:tcPr>
            <w:tcW w:type="dxa" w:w="32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Audit item</w:t>
            </w:r>
          </w:p>
        </w:tc>
        <w:tc>
          <w:tcPr>
            <w:tcW w:type="dxa" w:w="1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Value</w:t>
            </w:r>
          </w:p>
        </w:tc>
        <w:tc>
          <w:tcPr>
            <w:tcW w:type="dxa" w:w="45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Interpretation</w:t>
            </w:r>
          </w:p>
        </w:tc>
      </w:tr>
      <w:tr>
        <w:trPr>
          <w:cantSplit/>
        </w:trPr>
        <w:tc>
          <w:tcPr>
            <w:tcW w:type="dxa" w:w="3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Physical files in source tree</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17,591</w:t>
            </w:r>
          </w:p>
        </w:tc>
        <w:tc>
          <w:tcPr>
            <w:tcW w:type="dxa" w:w="4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2,483,915,296 bytes; source treated as read-only</w:t>
            </w:r>
          </w:p>
        </w:tc>
      </w:tr>
      <w:tr>
        <w:trPr>
          <w:cantSplit/>
        </w:trPr>
        <w:tc>
          <w:tcPr>
            <w:tcW w:type="dxa" w:w="3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Readable canonical images</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5,856</w:t>
            </w:r>
          </w:p>
        </w:tc>
        <w:tc>
          <w:tcPr>
            <w:tcW w:type="dxa" w:w="4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Images that passed the audit reader</w:t>
            </w:r>
          </w:p>
        </w:tc>
      </w:tr>
      <w:tr>
        <w:trPr>
          <w:cantSplit/>
        </w:trPr>
        <w:tc>
          <w:tcPr>
            <w:tcW w:type="dxa" w:w="3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Redundant exact duplicates excluded</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32</w:t>
            </w:r>
          </w:p>
        </w:tc>
        <w:tc>
          <w:tcPr>
            <w:tcW w:type="dxa" w:w="4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Exact duplicate content removed from the retained set</w:t>
            </w:r>
          </w:p>
        </w:tc>
      </w:tr>
      <w:tr>
        <w:trPr>
          <w:cantSplit/>
        </w:trPr>
        <w:tc>
          <w:tcPr>
            <w:tcW w:type="dxa" w:w="3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Unique images retained</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5,824</w:t>
            </w:r>
          </w:p>
        </w:tc>
        <w:tc>
          <w:tcPr>
            <w:tcW w:type="dxa" w:w="4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Basis of the locked train/validation/test manifests</w:t>
            </w:r>
          </w:p>
        </w:tc>
      </w:tr>
      <w:tr>
        <w:trPr>
          <w:cantSplit/>
        </w:trPr>
        <w:tc>
          <w:tcPr>
            <w:tcW w:type="dxa" w:w="3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Unreadable retained images</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w:t>
            </w:r>
          </w:p>
        </w:tc>
        <w:tc>
          <w:tcPr>
            <w:tcW w:type="dxa" w:w="4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No invalid image was allowed into a manifest</w:t>
            </w:r>
          </w:p>
        </w:tc>
      </w:tr>
      <w:tr>
        <w:trPr>
          <w:cantSplit/>
        </w:trPr>
        <w:tc>
          <w:tcPr>
            <w:tcW w:type="dxa" w:w="3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Source integrity recheck</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17,591 / 17,591</w:t>
            </w:r>
          </w:p>
        </w:tc>
        <w:tc>
          <w:tcPr>
            <w:tcW w:type="dxa" w:w="45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Zero hash mismatches after the audit</w:t>
            </w:r>
          </w:p>
        </w:tc>
      </w:tr>
    </w:tbl>
    <w:p>
      <w:pPr>
        <w:spacing w:after="40"/>
      </w:pPr>
    </w:p>
    <w:p>
      <w:pPr>
        <w:pStyle w:val="Heading2"/>
      </w:pPr>
      <w:r>
        <w:rPr>
          <w:rFonts w:ascii="Arial" w:hAnsi="Arial" w:eastAsia="Arial"/>
          <w:b/>
          <w:color w:val="000000"/>
          <w:sz w:val="26"/>
        </w:rPr>
        <w:t>Three-Class Label Derivation</w:t>
      </w:r>
    </w:p>
    <w:p>
      <w:r>
        <w:rPr>
          <w:rFonts w:ascii="Arial" w:hAnsi="Arial" w:eastAsia="Arial"/>
          <w:color w:val="000000"/>
          <w:sz w:val="21"/>
        </w:rPr>
        <w:t>Labels were derived only from repository-visible folder and filename evidence. Pixel appearance was never used to assign a class.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1900"/>
        <w:gridCol w:w="3860"/>
        <w:gridCol w:w="1400"/>
        <w:gridCol w:w="1500"/>
      </w:tblGrid>
      <w:tr>
        <w:trPr>
          <w:cantSplit/>
          <w:tblHeader w:val="true"/>
        </w:trPr>
        <w:tc>
          <w:tcPr>
            <w:tcW w:type="dxa" w:w="7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Index</w:t>
            </w:r>
          </w:p>
        </w:tc>
        <w:tc>
          <w:tcPr>
            <w:tcW w:type="dxa" w:w="19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Class</w:t>
            </w:r>
          </w:p>
        </w:tc>
        <w:tc>
          <w:tcPr>
            <w:tcW w:type="dxa" w:w="38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Label evidence</w:t>
            </w:r>
          </w:p>
        </w:tc>
        <w:tc>
          <w:tcPr>
            <w:tcW w:type="dxa" w:w="14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Retained</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Share</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Normal</w:t>
            </w:r>
          </w:p>
        </w:tc>
        <w:tc>
          <w:tcPr>
            <w:tcW w:type="dxa" w:w="3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NORMAL source folder</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1,579</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27.11%</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Viral Pneumonia</w:t>
            </w:r>
          </w:p>
        </w:tc>
        <w:tc>
          <w:tcPr>
            <w:tcW w:type="dxa" w:w="3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PNEUMONIA folder plus _virus_ filename token</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1,485</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25.50%</w:t>
            </w:r>
          </w:p>
        </w:tc>
      </w:tr>
      <w:tr>
        <w:trPr>
          <w:cantSplit/>
        </w:trPr>
        <w:tc>
          <w:tcPr>
            <w:tcW w:type="dxa" w:w="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w:t>
            </w:r>
          </w:p>
        </w:tc>
        <w:tc>
          <w:tcPr>
            <w:tcW w:type="dxa" w:w="1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Bacterial Pneumonia</w:t>
            </w:r>
          </w:p>
        </w:tc>
        <w:tc>
          <w:tcPr>
            <w:tcW w:type="dxa" w:w="3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PNEUMONIA folder plus _bacteria_ filename token</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2,760</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47.39%</w:t>
            </w:r>
          </w:p>
        </w:tc>
      </w:tr>
    </w:tbl>
    <w:p>
      <w:pPr>
        <w:spacing w:after="40"/>
      </w:pPr>
    </w:p>
    <w:p>
      <w:pPr>
        <w:pStyle w:val="Heading2"/>
      </w:pPr>
      <w:r>
        <w:rPr>
          <w:rFonts w:ascii="Arial" w:hAnsi="Arial" w:eastAsia="Arial"/>
          <w:b/>
          <w:color w:val="000000"/>
          <w:sz w:val="26"/>
        </w:rPr>
        <w:t>Why the Original Split Was Rebuilt</w:t>
      </w:r>
    </w:p>
    <w:p>
      <w:r>
        <w:rPr>
          <w:rFonts w:ascii="Arial" w:hAnsi="Arial" w:eastAsia="Arial"/>
          <w:color w:val="000000"/>
          <w:sz w:val="21"/>
        </w:rPr>
        <w:t>The original validation folder was not suitable for three-class model selection: it contained 8 Normal and 8 Bacterial images but no Viral images. The audit also found 264 conservative group identifiers occurring across original folders. A fixed, stratified, group-aware split was therefore built with seed 42.</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300"/>
        <w:gridCol w:w="1400"/>
        <w:gridCol w:w="1400"/>
        <w:gridCol w:w="1600"/>
        <w:gridCol w:w="2160"/>
      </w:tblGrid>
      <w:tr>
        <w:trPr>
          <w:cantSplit/>
          <w:tblHeader w:val="true"/>
        </w:trPr>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Split</w:t>
            </w:r>
          </w:p>
        </w:tc>
        <w:tc>
          <w:tcPr>
            <w:tcW w:type="dxa" w:w="13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Total</w:t>
            </w:r>
          </w:p>
        </w:tc>
        <w:tc>
          <w:tcPr>
            <w:tcW w:type="dxa" w:w="14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Normal</w:t>
            </w:r>
          </w:p>
        </w:tc>
        <w:tc>
          <w:tcPr>
            <w:tcW w:type="dxa" w:w="14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Viral</w:t>
            </w:r>
          </w:p>
        </w:tc>
        <w:tc>
          <w:tcPr>
            <w:tcW w:type="dxa" w:w="1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Bacterial</w:t>
            </w:r>
          </w:p>
        </w:tc>
        <w:tc>
          <w:tcPr>
            <w:tcW w:type="dxa" w:w="21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Groups</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Train</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4,076</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1,105</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1,039</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1,932</w:t>
            </w:r>
          </w:p>
        </w:tc>
        <w:tc>
          <w:tcPr>
            <w:tcW w:type="dxa" w:w="2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2,326</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Validation</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874</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237</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223</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414</w:t>
            </w:r>
          </w:p>
        </w:tc>
        <w:tc>
          <w:tcPr>
            <w:tcW w:type="dxa" w:w="2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228</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Locked test</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874</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237</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223</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414</w:t>
            </w:r>
          </w:p>
        </w:tc>
        <w:tc>
          <w:tcPr>
            <w:tcW w:type="dxa" w:w="2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235</w:t>
            </w:r>
          </w:p>
        </w:tc>
      </w:tr>
      <w:tr>
        <w:trPr>
          <w:cantSplit/>
        </w:trPr>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Total</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5,824</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1,579</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1,485</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2,760</w:t>
            </w:r>
          </w:p>
        </w:tc>
        <w:tc>
          <w:tcPr>
            <w:tcW w:type="dxa" w:w="2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2,789</w:t>
            </w:r>
          </w:p>
        </w:tc>
      </w:tr>
    </w:tbl>
    <w:p>
      <w:pPr>
        <w:spacing w:after="40"/>
      </w:pPr>
    </w:p>
    <w:p>
      <w:pPr>
        <w:pStyle w:val="ListBullet"/>
      </w:pPr>
      <w:r>
        <w:rPr>
          <w:rFonts w:ascii="Arial" w:hAnsi="Arial" w:eastAsia="Arial"/>
          <w:color w:val="000000"/>
          <w:sz w:val="21"/>
        </w:rPr>
        <w:t>Exact-hash leakage across assigned splits: 0 pairs.</w:t>
      </w:r>
    </w:p>
    <w:p>
      <w:pPr>
        <w:pStyle w:val="ListBullet"/>
      </w:pPr>
      <w:r>
        <w:rPr>
          <w:rFonts w:ascii="Arial" w:hAnsi="Arial" w:eastAsia="Arial"/>
          <w:color w:val="000000"/>
          <w:sz w:val="21"/>
        </w:rPr>
        <w:t>Conservative group leakage across assigned splits: 0 groups.</w:t>
      </w:r>
    </w:p>
    <w:p>
      <w:pPr>
        <w:pStyle w:val="ListBullet"/>
      </w:pPr>
      <w:r>
        <w:rPr>
          <w:rFonts w:ascii="Arial" w:hAnsi="Arial" w:eastAsia="Arial"/>
          <w:color w:val="000000"/>
          <w:sz w:val="21"/>
        </w:rPr>
        <w:t>Manifest version: three_class_seed42_3b815cf769c8.</w:t>
      </w:r>
    </w:p>
    <w:p>
      <w:pPr>
        <w:pStyle w:val="ListBullet"/>
      </w:pPr>
      <w:r>
        <w:rPr>
          <w:rFonts w:ascii="Arial" w:hAnsi="Arial" w:eastAsia="Arial"/>
          <w:color w:val="000000"/>
          <w:sz w:val="21"/>
        </w:rPr>
        <w:t>Manifest SHA-256: 3b815cf769c85658a04748da5eb2e15b981b89d9c9b77a404e90fe23473d2774.</w:t>
      </w:r>
    </w:p>
    <w:p>
      <w:pPr>
        <w:pStyle w:val="Heading2"/>
      </w:pPr>
      <w:r>
        <w:rPr>
          <w:rFonts w:ascii="Arial" w:hAnsi="Arial" w:eastAsia="Arial"/>
          <w:b/>
          <w:color w:val="000000"/>
          <w:sz w:val="26"/>
        </w:rPr>
        <w:t>Image Characteristics and Quality Checks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00"/>
        <w:gridCol w:w="6860"/>
      </w:tblGrid>
      <w:tr>
        <w:trPr>
          <w:cantSplit/>
          <w:tblHeader w:val="true"/>
        </w:trPr>
        <w:tc>
          <w:tcPr>
            <w:tcW w:type="dxa" w:w="2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Characteristic</w:t>
            </w:r>
          </w:p>
        </w:tc>
        <w:tc>
          <w:tcPr>
            <w:tcW w:type="dxa" w:w="68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Observed distribution</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Image mode</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5,541 grayscale (L); 283 RGB</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Width</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Minimum 384 px; median 1,280 px; maximum 2,916 px</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Height</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Minimum 127 px; median 886 px; maximum 2,713 px</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Aspect ratio</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Minimum 0.83539; median 1.41608; maximum 3.37879</w:t>
            </w:r>
          </w:p>
        </w:tc>
      </w:tr>
      <w:tr>
        <w:trPr>
          <w:cantSplit/>
        </w:trPr>
        <w:tc>
          <w:tcPr>
            <w:tcW w:type="dxa" w:w="2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Near-duplicate review</w:t>
            </w:r>
          </w:p>
        </w:tc>
        <w:tc>
          <w:tcPr>
            <w:tcW w:type="dxa" w:w="68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16 perceptual-hash candidate pairs retained for manual review</w:t>
            </w:r>
          </w:p>
        </w:tc>
      </w:tr>
    </w:tbl>
    <w:p>
      <w:pPr>
        <w:spacing w:after="40"/>
      </w:pPr>
    </w:p>
    <w:p>
      <w:pPr>
        <w:keepLines/>
        <w:spacing w:before="80" w:after="160"/>
        <w:pBdr>
          <w:bottom w:val="single" w:sz="6" w:space="1" w:color="000000"/>
        </w:pBdr>
      </w:pPr>
      <w:r>
        <w:rPr>
          <w:rFonts w:ascii="Arial" w:hAnsi="Arial" w:eastAsia="Arial"/>
          <w:b/>
          <w:color w:val="000000"/>
          <w:sz w:val="20"/>
        </w:rPr>
        <w:t>Grouping limitation: the dataset does not provide authoritative patient metadata. Conservative filename-derived group identifiers reduce leakage risk but may merge unrelated images when identifiers are reused.</w:t>
      </w:r>
    </w:p>
    <w:p>
      <w:r>
        <w:br w:type="page"/>
      </w:r>
    </w:p>
    <w:p>
      <w:pPr>
        <w:pStyle w:val="Heading1"/>
      </w:pPr>
      <w:r>
        <w:rPr>
          <w:rFonts w:ascii="Arial" w:hAnsi="Arial" w:eastAsia="Arial"/>
          <w:b/>
          <w:color w:val="000000"/>
          <w:sz w:val="32"/>
        </w:rPr>
        <w:t>3. Preprocessing and Data Augmentation</w:t>
      </w:r>
    </w:p>
    <w:p>
      <w:pPr>
        <w:pStyle w:val="Heading2"/>
      </w:pPr>
      <w:r>
        <w:rPr>
          <w:rFonts w:ascii="Arial" w:hAnsi="Arial" w:eastAsia="Arial"/>
          <w:b/>
          <w:color w:val="000000"/>
          <w:sz w:val="26"/>
        </w:rPr>
        <w:t>Baseline Image Pipeline</w:t>
      </w:r>
    </w:p>
    <w:p>
      <w:pPr>
        <w:pStyle w:val="ListBullet"/>
      </w:pPr>
      <w:r>
        <w:rPr>
          <w:rFonts w:ascii="Arial" w:hAnsi="Arial" w:eastAsia="Arial"/>
          <w:color w:val="000000"/>
          <w:sz w:val="21"/>
        </w:rPr>
        <w:t>Open the image with Pillow and convert it to RGB so grayscale and RGB files have a consistent three-channel tensor.</w:t>
      </w:r>
    </w:p>
    <w:p>
      <w:pPr>
        <w:pStyle w:val="ListBullet"/>
      </w:pPr>
      <w:r>
        <w:rPr>
          <w:rFonts w:ascii="Arial" w:hAnsi="Arial" w:eastAsia="Arial"/>
          <w:color w:val="000000"/>
          <w:sz w:val="21"/>
        </w:rPr>
        <w:t>Center-fit the image to 224 x 224 pixels with bilinear interpolation.</w:t>
      </w:r>
    </w:p>
    <w:p>
      <w:pPr>
        <w:pStyle w:val="ListBullet"/>
      </w:pPr>
      <w:r>
        <w:rPr>
          <w:rFonts w:ascii="Arial" w:hAnsi="Arial" w:eastAsia="Arial"/>
          <w:color w:val="000000"/>
          <w:sz w:val="21"/>
        </w:rPr>
        <w:t>Convert pixel values to the [0, 1] range.</w:t>
      </w:r>
    </w:p>
    <w:p>
      <w:pPr>
        <w:pStyle w:val="ListBullet"/>
      </w:pPr>
      <w:r>
        <w:rPr>
          <w:rFonts w:ascii="Arial" w:hAnsi="Arial" w:eastAsia="Arial"/>
          <w:color w:val="000000"/>
          <w:sz w:val="21"/>
        </w:rPr>
        <w:t>Normalize with ImageNet mean [0.485, 0.456, 0.406] and standard deviation [0.229, 0.224, 0.225].</w:t>
      </w:r>
    </w:p>
    <w:p>
      <w:pPr>
        <w:pStyle w:val="Heading2"/>
      </w:pPr>
      <w:r>
        <w:rPr>
          <w:rFonts w:ascii="Arial" w:hAnsi="Arial" w:eastAsia="Arial"/>
          <w:b/>
          <w:color w:val="000000"/>
          <w:sz w:val="26"/>
        </w:rPr>
        <w:t>Training-Only Augmentation</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2400"/>
        <w:gridCol w:w="4360"/>
      </w:tblGrid>
      <w:tr>
        <w:trPr>
          <w:cantSplit/>
          <w:tblHeader w:val="true"/>
        </w:trPr>
        <w:tc>
          <w:tcPr>
            <w:tcW w:type="dxa" w:w="2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Operation</w:t>
            </w:r>
          </w:p>
        </w:tc>
        <w:tc>
          <w:tcPr>
            <w:tcW w:type="dxa" w:w="24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Setting</w:t>
            </w:r>
          </w:p>
        </w:tc>
        <w:tc>
          <w:tcPr>
            <w:tcW w:type="dxa" w:w="4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Use</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Random horizontal flip</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Probability 0.50</w:t>
            </w:r>
          </w:p>
        </w:tc>
        <w:tc>
          <w:tcPr>
            <w:tcW w:type="dxa" w:w="4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Adds left-right variation while preserving the requested conservative policy</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Random rotation</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Uniform from -5 to +5 degrees</w:t>
            </w:r>
          </w:p>
        </w:tc>
        <w:tc>
          <w:tcPr>
            <w:tcW w:type="dxa" w:w="4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Bilinear interpolation with black fill</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Validation/test transforms</w:t>
            </w:r>
          </w:p>
        </w:tc>
        <w:tc>
          <w:tcPr>
            <w:tcW w:type="dxa" w:w="2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Deterministic</w:t>
            </w:r>
          </w:p>
        </w:tc>
        <w:tc>
          <w:tcPr>
            <w:tcW w:type="dxa" w:w="4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No random augmentation during evaluation</w:t>
            </w:r>
          </w:p>
        </w:tc>
      </w:tr>
    </w:tbl>
    <w:p>
      <w:pPr>
        <w:spacing w:after="40"/>
      </w:pPr>
    </w:p>
    <w:p>
      <w:r>
        <w:rPr>
          <w:rFonts w:ascii="Arial" w:hAnsi="Arial" w:eastAsia="Arial"/>
          <w:color w:val="000000"/>
          <w:sz w:val="21"/>
        </w:rPr>
        <w:t>No random color jitter, MixUp, CutMix, aggressive crop policy, or large geometric distortion was applied. This keeps the baseline easy to interpret and prevents augmentation changes from becoming a hidden model-selection variable.</w:t>
      </w:r>
    </w:p>
    <w:p>
      <w:pPr>
        <w:pStyle w:val="Heading2"/>
      </w:pPr>
      <w:r>
        <w:rPr>
          <w:rFonts w:ascii="Arial" w:hAnsi="Arial" w:eastAsia="Arial"/>
          <w:b/>
          <w:color w:val="000000"/>
          <w:sz w:val="26"/>
        </w:rPr>
        <w:t>Implemented Preprocessing Ablations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2200"/>
        <w:gridCol w:w="5360"/>
      </w:tblGrid>
      <w:tr>
        <w:trPr>
          <w:cantSplit/>
          <w:tblHeader w:val="true"/>
        </w:trPr>
        <w:tc>
          <w:tcPr>
            <w:tcW w:type="dxa" w:w="18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Concept</w:t>
            </w:r>
          </w:p>
        </w:tc>
        <w:tc>
          <w:tcPr>
            <w:tcW w:type="dxa" w:w="22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Status</w:t>
            </w:r>
          </w:p>
        </w:tc>
        <w:tc>
          <w:tcPr>
            <w:tcW w:type="dxa" w:w="5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Verified implementation or reason</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CLAHE</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Implemented; full ablation planned</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Grayscale CLAHE, clip limit 2.0, 8 x 8 tile grid, then RGB replication</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Histogram equalization</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Implemented; full ablation planned</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Global grayscale histogram equalization, then RGB replication</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Pseudo-coloring</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Implemented; full ablation planned</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OpenCV VIRIDIS mapping; changes representation but adds no clinical information</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PCA</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Unsupported / deferred</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Raw-image PCA was not considered scientifically justified; no train-only feature-space design exists</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FILM</w:t>
            </w:r>
          </w:p>
        </w:tc>
        <w:tc>
          <w:tcPr>
            <w:tcW w:type="dxa" w:w="2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Unresolved</w:t>
            </w:r>
          </w:p>
        </w:tc>
        <w:tc>
          <w:tcPr>
            <w:tcW w:type="dxa" w:w="5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 verified repository definition or conditioning signal was found; no definition was invented</w:t>
            </w:r>
          </w:p>
        </w:tc>
      </w:tr>
    </w:tbl>
    <w:p>
      <w:pPr>
        <w:spacing w:after="40"/>
      </w:pPr>
    </w:p>
    <w:p>
      <w:pPr>
        <w:keepLines/>
        <w:spacing w:before="80" w:after="160"/>
        <w:pBdr>
          <w:bottom w:val="single" w:sz="6" w:space="1" w:color="000000"/>
        </w:pBdr>
      </w:pPr>
      <w:r>
        <w:rPr>
          <w:rFonts w:ascii="Arial" w:hAnsi="Arial" w:eastAsia="Arial"/>
          <w:b/>
          <w:color w:val="000000"/>
          <w:sz w:val="20"/>
        </w:rPr>
        <w:t>Smoke runs confirm that the three implemented preprocessing paths execute end to end. Their one-epoch smoke metrics are diagnostics only and are not evidence that one preprocessing method is better.</w:t>
      </w:r>
    </w:p>
    <w:p>
      <w:r>
        <w:br w:type="page"/>
      </w:r>
    </w:p>
    <w:p>
      <w:pPr>
        <w:pStyle w:val="Heading1"/>
      </w:pPr>
      <w:r>
        <w:rPr>
          <w:rFonts w:ascii="Arial" w:hAnsi="Arial" w:eastAsia="Arial"/>
          <w:b/>
          <w:color w:val="000000"/>
          <w:sz w:val="32"/>
        </w:rPr>
        <w:t>4. Training Design</w:t>
      </w:r>
    </w:p>
    <w:p>
      <w:pPr>
        <w:pStyle w:val="Heading2"/>
      </w:pPr>
      <w:r>
        <w:rPr>
          <w:rFonts w:ascii="Arial" w:hAnsi="Arial" w:eastAsia="Arial"/>
          <w:b/>
          <w:color w:val="000000"/>
          <w:sz w:val="26"/>
        </w:rPr>
        <w:t>Common Configuration</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6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Configuration item</w:t>
            </w:r>
          </w:p>
        </w:tc>
        <w:tc>
          <w:tcPr>
            <w:tcW w:type="dxa" w:w="6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Value</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Task</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Three-class image classification</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Class order</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Normal, Viral Pneumonia, Bacterial Pneumonia</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Classifier output</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Three logits</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Initialization</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Official ImageNet weights for completed torchvision baselines</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Fine-tuning</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Full network trainable; freeze_backbone = false</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Maximum epochs</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12</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Optimizer</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AdamW</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Learning rate</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0.0001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Weight decay</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0.0001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Loss</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Class-weighted cross-entropy</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Class weights</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Normal 1.229563; Viral 1.307668; Bacterial 0.703244</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Scheduler</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ReduceLROnPlateau on validation macro F1; patience 2; factor 0.5</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Early stopping</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Patience 4; minimum delta 0.0001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Mixed precision</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Enabled</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Seed / determinism</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Seed 42; deterministic settings where practical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DataLoader workers</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0 for Windows reliability</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Selection metric</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Validation macro F1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Checkpoints</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Best and last checkpoints retained; history saved every epoch</w:t>
            </w:r>
          </w:p>
        </w:tc>
      </w:tr>
    </w:tbl>
    <w:p>
      <w:pPr>
        <w:spacing w:after="40"/>
      </w:pPr>
    </w:p>
    <w:p>
      <w:pPr>
        <w:pStyle w:val="Heading2"/>
      </w:pPr>
      <w:r>
        <w:rPr>
          <w:rFonts w:ascii="Arial" w:hAnsi="Arial" w:eastAsia="Arial"/>
          <w:b/>
          <w:color w:val="000000"/>
          <w:sz w:val="26"/>
        </w:rPr>
        <w:t>Architecture-Specific Batch Sizes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rPr>
          <w:cantSplit/>
          <w:tblHeader w:val="true"/>
        </w:trPr>
        <w:tc>
          <w:tcPr>
            <w:tcW w:type="dxa" w:w="468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Architecture</w:t>
            </w:r>
          </w:p>
        </w:tc>
        <w:tc>
          <w:tcPr>
            <w:tcW w:type="dxa" w:w="468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Batch size</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DenseNet121</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16</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DenseNet169</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12</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DenseNet201</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8</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ResNet50</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16</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ResNet101</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8</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ResNet152</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6</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YOLOv5 classification</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32</w:t>
            </w:r>
          </w:p>
        </w:tc>
      </w:tr>
      <w:tr>
        <w:trPr>
          <w:cantSplit/>
        </w:trPr>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YOLOv8 classification</w:t>
            </w:r>
          </w:p>
        </w:tc>
        <w:tc>
          <w:tcPr>
            <w:tcW w:type="dxa" w:w="46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32</w:t>
            </w:r>
          </w:p>
        </w:tc>
      </w:tr>
    </w:tbl>
    <w:p>
      <w:pPr>
        <w:spacing w:after="40"/>
      </w:pPr>
    </w:p>
    <w:p>
      <w:pPr>
        <w:pStyle w:val="Heading2"/>
      </w:pPr>
      <w:r>
        <w:rPr>
          <w:rFonts w:ascii="Arial" w:hAnsi="Arial" w:eastAsia="Arial"/>
          <w:b/>
          <w:color w:val="000000"/>
          <w:sz w:val="26"/>
        </w:rPr>
        <w:t>Hardware and Software Snapshot</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6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Component</w:t>
            </w:r>
          </w:p>
        </w:tc>
        <w:tc>
          <w:tcPr>
            <w:tcW w:type="dxa" w:w="6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Recorded value</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GPU</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NVIDIA GeForce RTX 2050; 4,096 MiB VRAM</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Python</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3.12.6</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PyTorch</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2.5.1+cu121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torchvision</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0.20.1+cu121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CUDA runtime</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12.1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cuDNN</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90100</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Ultralytics</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8.3.168</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Optuna</w:t>
            </w:r>
          </w:p>
        </w:tc>
        <w:tc>
          <w:tcPr>
            <w:tcW w:type="dxa" w:w="6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4.9.0</w:t>
            </w:r>
          </w:p>
        </w:tc>
      </w:tr>
    </w:tbl>
    <w:p>
      <w:pPr>
        <w:spacing w:after="40"/>
      </w:pPr>
    </w:p>
    <w:p>
      <w:r>
        <w:rPr>
          <w:rFonts w:ascii="Arial" w:hAnsi="Arial" w:eastAsia="Arial"/>
          <w:color w:val="000000"/>
          <w:sz w:val="21"/>
        </w:rPr>
        <w:t>General tuning is planned as an Optuna TPE validation-only search. It is not called SAS Tuning. SAS Tuning and automated grading of chest X-rays remain unresolved because the repository contains no verified implementation or exact definition for either term.</w:t>
      </w:r>
    </w:p>
    <w:p>
      <w:r>
        <w:br w:type="page"/>
      </w:r>
    </w:p>
    <w:p>
      <w:pPr>
        <w:pStyle w:val="Heading1"/>
      </w:pPr>
      <w:r>
        <w:rPr>
          <w:rFonts w:ascii="Arial" w:hAnsi="Arial" w:eastAsia="Arial"/>
          <w:b/>
          <w:color w:val="000000"/>
          <w:sz w:val="32"/>
        </w:rPr>
        <w:t>5. Completed Baseline Results</w:t>
      </w:r>
    </w:p>
    <w:p>
      <w:r>
        <w:rPr>
          <w:rFonts w:ascii="Arial" w:hAnsi="Arial" w:eastAsia="Arial"/>
          <w:color w:val="000000"/>
          <w:sz w:val="21"/>
        </w:rPr>
        <w:t>All results in this section are from the best checkpoint of a completed baseline run evaluated on the same 874-image validation manifest. Percentages are rounded for presentation; ranking calculations used the full-precision artifacts.</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1160"/>
        <w:gridCol w:w="1500"/>
        <w:gridCol w:w="1700"/>
        <w:gridCol w:w="1450"/>
        <w:gridCol w:w="145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Model</w:t>
            </w:r>
          </w:p>
        </w:tc>
        <w:tc>
          <w:tcPr>
            <w:tcW w:type="dxa" w:w="11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Best epoch</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Accuracy</w:t>
            </w:r>
          </w:p>
        </w:tc>
        <w:tc>
          <w:tcPr>
            <w:tcW w:type="dxa" w:w="17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Balanced acc.</w:t>
            </w:r>
          </w:p>
        </w:tc>
        <w:tc>
          <w:tcPr>
            <w:tcW w:type="dxa" w:w="14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Macro F1</w:t>
            </w:r>
          </w:p>
        </w:tc>
        <w:tc>
          <w:tcPr>
            <w:tcW w:type="dxa" w:w="14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Weighted F1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DenseNet121</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10</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85.47%</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82.73%</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83.77%</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84.71%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DenseNet169</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85.47%</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83.73%</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84.03%</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84.91%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DenseNet201</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10</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84.21%</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84.03%</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83.87%</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84.19%</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ResNet50</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5</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84.67%</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83.44%</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83.69%</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84.31%</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ResNet101</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84.78%</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83.59%</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83.73%</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84.40%</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ResNet152</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84.32%</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83.21%</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83.33%</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84.00%</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YOLOv5 classification</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11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81.46%</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79.35%</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79.47%</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80.53%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YOLOv8 classification</w:t>
            </w:r>
          </w:p>
        </w:tc>
        <w:tc>
          <w:tcPr>
            <w:tcW w:type="dxa" w:w="11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11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79.52%</w:t>
            </w:r>
          </w:p>
        </w:tc>
        <w:tc>
          <w:tcPr>
            <w:tcW w:type="dxa" w:w="17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77.44%</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77.34%</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78.50%</w:t>
            </w:r>
          </w:p>
        </w:tc>
      </w:tr>
    </w:tbl>
    <w:p>
      <w:pPr>
        <w:spacing w:after="40"/>
      </w:pPr>
    </w:p>
    <w:p>
      <w:pPr>
        <w:pStyle w:val="Heading2"/>
      </w:pPr>
      <w:r>
        <w:rPr>
          <w:rFonts w:ascii="Arial" w:hAnsi="Arial" w:eastAsia="Arial"/>
          <w:b/>
          <w:color w:val="000000"/>
          <w:sz w:val="26"/>
        </w:rPr>
        <w:t>Per-Class Precision, Recall, and F1</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1500"/>
        <w:gridCol w:w="1500"/>
        <w:gridCol w:w="1500"/>
        <w:gridCol w:w="1400"/>
        <w:gridCol w:w="136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Model</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Class</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Precision</w:t>
            </w:r>
          </w:p>
        </w:tc>
        <w:tc>
          <w:tcPr>
            <w:tcW w:type="dxa" w:w="15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Recall</w:t>
            </w:r>
          </w:p>
        </w:tc>
        <w:tc>
          <w:tcPr>
            <w:tcW w:type="dxa" w:w="14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F1</w:t>
            </w:r>
          </w:p>
        </w:tc>
        <w:tc>
          <w:tcPr>
            <w:tcW w:type="dxa" w:w="1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5"/>
              </w:rPr>
              <w:t>Support</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DenseNet121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Normal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97.46%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97.05%</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97.25%</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237</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DenseNet121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Viral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81.41%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56.95%</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67.02%</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223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DenseNet121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Bacterial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80.91%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94.20%</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87.05%</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414</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DenseNet169</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Normal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92.86%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98.73%</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95.71%</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237</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DenseNet169</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Viral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78.41%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61.88%</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69.17%</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223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DenseNet169</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Bacterial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84.08%</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90.58%</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87.21%</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414</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DenseNet201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Normal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96.68%</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98.31%</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97.49%</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237</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DenseNet201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Viral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69.64%</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69.96%</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69.80%</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223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DenseNet201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Bacterial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84.84%</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83.82%</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84.33%</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414</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ResNet50</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Normal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95.51%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98.73%</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97.10%</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237</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ResNet50</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Viral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73.96%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63.68%</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68.43%</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223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ResNet50</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Bacterial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83.30%</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87.92%</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85.55%</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414</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ResNet101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Normal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94.76%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99.16%</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96.91%</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237</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ResNet101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Viral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73.96%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63.68%</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68.43%</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223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ResNet101</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Bacterial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83.87%</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87.92%</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85.85%</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414</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ResNet152</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Normal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94.33%</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98.31%</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96.28%</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237</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ResNet152</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Viral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72.96%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64.13%</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68.26%</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223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ResNet152</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Bacterial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83.76%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87.20%</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85.44%</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414</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YOLOv5 classification</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Normal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89.92%</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97.89%</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93.74%</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237</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YOLOv5 classification</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Viral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74.05%</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52.47%</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61.42%</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223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YOLOv5 classification</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Bacterial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79.26%</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87.68%</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83.26%</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414</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YOLOv8 classification</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Normal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87.79%</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97.05%</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92.18%</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237</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YOLOv8 classification</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Viral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70.25%</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49.78%</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58.27%</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223</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YOLOv8 classification</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Bacterial</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77.97%</w:t>
            </w:r>
          </w:p>
        </w:tc>
        <w:tc>
          <w:tcPr>
            <w:tcW w:type="dxa" w:w="15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85.51%</w:t>
            </w:r>
          </w:p>
        </w:tc>
        <w:tc>
          <w:tcPr>
            <w:tcW w:type="dxa" w:w="14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81.57%</w:t>
            </w:r>
          </w:p>
        </w:tc>
        <w:tc>
          <w:tcPr>
            <w:tcW w:type="dxa" w:w="1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5"/>
              </w:rPr>
              <w:t>414</w:t>
            </w:r>
          </w:p>
        </w:tc>
      </w:tr>
    </w:tbl>
    <w:p>
      <w:pPr>
        <w:spacing w:after="40"/>
      </w:pPr>
    </w:p>
    <w:p>
      <w:pPr>
        <w:pStyle w:val="Heading2"/>
      </w:pPr>
      <w:r>
        <w:rPr>
          <w:rFonts w:ascii="Arial" w:hAnsi="Arial" w:eastAsia="Arial"/>
          <w:b/>
          <w:color w:val="000000"/>
          <w:sz w:val="26"/>
        </w:rPr>
        <w:t>Discrimination, Calibration, and Agreement</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080"/>
        <w:gridCol w:w="1080"/>
        <w:gridCol w:w="1080"/>
        <w:gridCol w:w="900"/>
        <w:gridCol w:w="1080"/>
        <w:gridCol w:w="1140"/>
        <w:gridCol w:w="1200"/>
      </w:tblGrid>
      <w:tr>
        <w:trPr>
          <w:cantSplit/>
          <w:tblHeader w:val="true"/>
        </w:trPr>
        <w:tc>
          <w:tcPr>
            <w:tcW w:type="dxa" w:w="18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Model</w:t>
            </w:r>
          </w:p>
        </w:tc>
        <w:tc>
          <w:tcPr>
            <w:tcW w:type="dxa" w:w="108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ROC AUC</w:t>
            </w:r>
          </w:p>
        </w:tc>
        <w:tc>
          <w:tcPr>
            <w:tcW w:type="dxa" w:w="108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PR AUC</w:t>
            </w:r>
          </w:p>
        </w:tc>
        <w:tc>
          <w:tcPr>
            <w:tcW w:type="dxa" w:w="108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Log loss</w:t>
            </w:r>
          </w:p>
        </w:tc>
        <w:tc>
          <w:tcPr>
            <w:tcW w:type="dxa" w:w="9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ECE</w:t>
            </w:r>
          </w:p>
        </w:tc>
        <w:tc>
          <w:tcPr>
            <w:tcW w:type="dxa" w:w="108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Brier</w:t>
            </w:r>
          </w:p>
        </w:tc>
        <w:tc>
          <w:tcPr>
            <w:tcW w:type="dxa" w:w="114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MCC</w:t>
            </w:r>
          </w:p>
        </w:tc>
        <w:tc>
          <w:tcPr>
            <w:tcW w:type="dxa" w:w="12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Kappa</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DenseNet121</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0.9241</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0.8603</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0.6243</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0.0969</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0.2509</w:t>
            </w:r>
          </w:p>
        </w:tc>
        <w:tc>
          <w:tcPr>
            <w:tcW w:type="dxa" w:w="114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0.7736</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0.7656</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DenseNet169</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0.9363</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0.8811</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0.4662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0.0685</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0.2345</w:t>
            </w:r>
          </w:p>
        </w:tc>
        <w:tc>
          <w:tcPr>
            <w:tcW w:type="dxa" w:w="114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0.7718</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0.7689</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DenseNet201</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0.9308</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0.8609</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0.4650</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0.0718</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0.2508</w:t>
            </w:r>
          </w:p>
        </w:tc>
        <w:tc>
          <w:tcPr>
            <w:tcW w:type="dxa" w:w="114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0.7526</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0.7526</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ResNet50</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0.9398</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0.8825</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0.3894</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0.0489</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0.2309</w:t>
            </w:r>
          </w:p>
        </w:tc>
        <w:tc>
          <w:tcPr>
            <w:tcW w:type="dxa" w:w="114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0.7583</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0.7571</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ResNet101</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0.9371</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0.8812</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0.5154</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0.0924</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0.2457</w:t>
            </w:r>
          </w:p>
        </w:tc>
        <w:tc>
          <w:tcPr>
            <w:tcW w:type="dxa" w:w="114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0.7603</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0.7591</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ResNet152</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0.9423</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0.8840</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0.3901</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0.0533</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0.2262</w:t>
            </w:r>
          </w:p>
        </w:tc>
        <w:tc>
          <w:tcPr>
            <w:tcW w:type="dxa" w:w="114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0.7531</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0.7522</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YOLOv5 classification</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0.9061</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0.8359</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0.5002</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0.0663</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0.2877</w:t>
            </w:r>
          </w:p>
        </w:tc>
        <w:tc>
          <w:tcPr>
            <w:tcW w:type="dxa" w:w="114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0.7088</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0.7037</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YOLOv8 classification</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0.9045</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0.8331</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0.5057</w:t>
            </w:r>
          </w:p>
        </w:tc>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0.0522</w:t>
            </w:r>
          </w:p>
        </w:tc>
        <w:tc>
          <w:tcPr>
            <w:tcW w:type="dxa" w:w="108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0.2968</w:t>
            </w:r>
          </w:p>
        </w:tc>
        <w:tc>
          <w:tcPr>
            <w:tcW w:type="dxa" w:w="114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0.6779</w:t>
            </w:r>
          </w:p>
        </w:tc>
        <w:tc>
          <w:tcPr>
            <w:tcW w:type="dxa" w:w="12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0.6731</w:t>
            </w:r>
          </w:p>
        </w:tc>
      </w:tr>
    </w:tbl>
    <w:p>
      <w:pPr>
        <w:spacing w:after="40"/>
      </w:pPr>
    </w:p>
    <w:p>
      <w:pPr>
        <w:pStyle w:val="Heading2"/>
      </w:pPr>
      <w:r>
        <w:rPr>
          <w:rFonts w:ascii="Arial" w:hAnsi="Arial" w:eastAsia="Arial"/>
          <w:b/>
          <w:color w:val="000000"/>
          <w:sz w:val="26"/>
        </w:rPr>
        <w:t>Efficiency and Resource Use</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600"/>
        <w:gridCol w:w="1350"/>
        <w:gridCol w:w="1450"/>
        <w:gridCol w:w="1300"/>
        <w:gridCol w:w="950"/>
        <w:gridCol w:w="910"/>
      </w:tblGrid>
      <w:tr>
        <w:trPr>
          <w:cantSplit/>
          <w:tblHeader w:val="true"/>
        </w:trPr>
        <w:tc>
          <w:tcPr>
            <w:tcW w:type="dxa" w:w="18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Model</w:t>
            </w:r>
          </w:p>
        </w:tc>
        <w:tc>
          <w:tcPr>
            <w:tcW w:type="dxa" w:w="1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Parameters</w:t>
            </w:r>
          </w:p>
        </w:tc>
        <w:tc>
          <w:tcPr>
            <w:tcW w:type="dxa" w:w="13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Artifact</w:t>
            </w:r>
          </w:p>
        </w:tc>
        <w:tc>
          <w:tcPr>
            <w:tcW w:type="dxa" w:w="14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Peak GPU</w:t>
            </w:r>
          </w:p>
        </w:tc>
        <w:tc>
          <w:tcPr>
            <w:tcW w:type="dxa" w:w="13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Train time</w:t>
            </w:r>
          </w:p>
        </w:tc>
        <w:tc>
          <w:tcPr>
            <w:tcW w:type="dxa" w:w="95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Latency</w:t>
            </w:r>
          </w:p>
        </w:tc>
        <w:tc>
          <w:tcPr>
            <w:tcW w:type="dxa" w:w="91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4"/>
              </w:rPr>
              <w:t>Throughput</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DenseNet121</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6,956,931</w:t>
            </w:r>
          </w:p>
        </w:tc>
        <w:tc>
          <w:tcPr>
            <w:tcW w:type="dxa" w:w="13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80.5 MB</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1150.1 MB</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70.0 min</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30.45 ms</w:t>
            </w:r>
          </w:p>
        </w:tc>
        <w:tc>
          <w:tcPr>
            <w:tcW w:type="dxa" w:w="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32.8/s</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DenseNet169</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12,489,475</w:t>
            </w:r>
          </w:p>
        </w:tc>
        <w:tc>
          <w:tcPr>
            <w:tcW w:type="dxa" w:w="13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144.3 MB</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1120.3 MB</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61.9 min</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26.55 ms</w:t>
            </w:r>
          </w:p>
        </w:tc>
        <w:tc>
          <w:tcPr>
            <w:tcW w:type="dxa" w:w="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37.7/s</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DenseNet201</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18,098,691</w:t>
            </w:r>
          </w:p>
        </w:tc>
        <w:tc>
          <w:tcPr>
            <w:tcW w:type="dxa" w:w="13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209.0 MB</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1064.7 MB</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64.6 min</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33.04 ms</w:t>
            </w:r>
          </w:p>
        </w:tc>
        <w:tc>
          <w:tcPr>
            <w:tcW w:type="dxa" w:w="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30.3/s</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ResNet50</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23,514,179</w:t>
            </w:r>
          </w:p>
        </w:tc>
        <w:tc>
          <w:tcPr>
            <w:tcW w:type="dxa" w:w="13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269.6 MB</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1046.2 MB</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36.4 min</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6.86 ms</w:t>
            </w:r>
          </w:p>
        </w:tc>
        <w:tc>
          <w:tcPr>
            <w:tcW w:type="dxa" w:w="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145.8/s</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ResNet101</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42,506,307</w:t>
            </w:r>
          </w:p>
        </w:tc>
        <w:tc>
          <w:tcPr>
            <w:tcW w:type="dxa" w:w="13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487.3 MB</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1288.0 MB</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60.7 min</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11.72 ms</w:t>
            </w:r>
          </w:p>
        </w:tc>
        <w:tc>
          <w:tcPr>
            <w:tcW w:type="dxa" w:w="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85.3/s</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ResNet152</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58,149,955</w:t>
            </w:r>
          </w:p>
        </w:tc>
        <w:tc>
          <w:tcPr>
            <w:tcW w:type="dxa" w:w="13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666.8 MB</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1727.6 MB</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68.6 min</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26.82 ms</w:t>
            </w:r>
          </w:p>
        </w:tc>
        <w:tc>
          <w:tcPr>
            <w:tcW w:type="dxa" w:w="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37.3/s</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YOLOv5 classification</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4,176,323</w:t>
            </w:r>
          </w:p>
        </w:tc>
        <w:tc>
          <w:tcPr>
            <w:tcW w:type="dxa" w:w="13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16.1 MB</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141.3 MB</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53.4 min</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5.83 ms</w:t>
            </w:r>
          </w:p>
        </w:tc>
        <w:tc>
          <w:tcPr>
            <w:tcW w:type="dxa" w:w="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171.6/s</w:t>
            </w:r>
          </w:p>
        </w:tc>
      </w:tr>
      <w:tr>
        <w:trPr>
          <w:cantSplit/>
        </w:trPr>
        <w:tc>
          <w:tcPr>
            <w:tcW w:type="dxa" w:w="1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YOLOv8 classification</w:t>
            </w:r>
          </w:p>
        </w:tc>
        <w:tc>
          <w:tcPr>
            <w:tcW w:type="dxa" w:w="1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1,442,131</w:t>
            </w:r>
          </w:p>
        </w:tc>
        <w:tc>
          <w:tcPr>
            <w:tcW w:type="dxa" w:w="13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5.6 MB</w:t>
            </w:r>
          </w:p>
        </w:tc>
        <w:tc>
          <w:tcPr>
            <w:tcW w:type="dxa" w:w="14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83.6 MB</w:t>
            </w:r>
          </w:p>
        </w:tc>
        <w:tc>
          <w:tcPr>
            <w:tcW w:type="dxa" w:w="13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52.4 min</w:t>
            </w:r>
          </w:p>
        </w:tc>
        <w:tc>
          <w:tcPr>
            <w:tcW w:type="dxa" w:w="95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4.90 ms</w:t>
            </w:r>
          </w:p>
        </w:tc>
        <w:tc>
          <w:tcPr>
            <w:tcW w:type="dxa" w:w="91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4"/>
              </w:rPr>
              <w:t>204.2/s</w:t>
            </w:r>
          </w:p>
        </w:tc>
      </w:tr>
    </w:tbl>
    <w:p>
      <w:pPr>
        <w:spacing w:after="40"/>
      </w:pPr>
    </w:p>
    <w:p>
      <w:r>
        <w:rPr>
          <w:rFonts w:ascii="Arial" w:hAnsi="Arial" w:eastAsia="Arial"/>
          <w:color w:val="000000"/>
          <w:sz w:val="21"/>
        </w:rPr>
        <w:t>Inference was measured on CUDA with batch size 1, input size 224, 5 warm-up runs, and 20 measured runs. Image preprocessing and host-to-device transfer were excluded from the latency measurement.</w:t>
      </w:r>
    </w:p>
    <w:p>
      <w:r>
        <w:br w:type="page"/>
      </w:r>
    </w:p>
    <w:p>
      <w:pPr>
        <w:pStyle w:val="Heading1"/>
      </w:pPr>
      <w:r>
        <w:rPr>
          <w:rFonts w:ascii="Arial" w:hAnsi="Arial" w:eastAsia="Arial"/>
          <w:b/>
          <w:color w:val="000000"/>
          <w:sz w:val="32"/>
        </w:rPr>
        <w:t>6. Confusion Matrices</w:t>
      </w:r>
    </w:p>
    <w:p>
      <w:r>
        <w:rPr>
          <w:rFonts w:ascii="Arial" w:hAnsi="Arial" w:eastAsia="Arial"/>
          <w:color w:val="000000"/>
          <w:sz w:val="21"/>
        </w:rPr>
        <w:t>Rows are actual classes and columns are predicted classes. Each matrix sums to 874 validation images. The pattern common to all completed models is strong Normal recognition and the largest error flow from Viral to Bacterial.</w:t>
      </w:r>
    </w:p>
    <w:p>
      <w:pPr>
        <w:pStyle w:val="Heading2"/>
      </w:pPr>
      <w:r>
        <w:rPr>
          <w:rFonts w:ascii="Arial" w:hAnsi="Arial" w:eastAsia="Arial"/>
          <w:b/>
          <w:color w:val="000000"/>
          <w:sz w:val="26"/>
        </w:rPr>
        <w:t>DenseNet121</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000"/>
        <w:gridCol w:w="2000"/>
        <w:gridCol w:w="2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Actual / predicted</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Normal</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Viral</w:t>
            </w:r>
          </w:p>
        </w:tc>
        <w:tc>
          <w:tcPr>
            <w:tcW w:type="dxa" w:w="2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Bacterial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Normal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230</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5</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Viral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6</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127</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90</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Bacterial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24</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390</w:t>
            </w:r>
          </w:p>
        </w:tc>
      </w:tr>
    </w:tbl>
    <w:p>
      <w:pPr>
        <w:spacing w:after="40"/>
      </w:pPr>
    </w:p>
    <w:p>
      <w:pPr>
        <w:pStyle w:val="Heading2"/>
      </w:pPr>
      <w:r>
        <w:rPr>
          <w:rFonts w:ascii="Arial" w:hAnsi="Arial" w:eastAsia="Arial"/>
          <w:b/>
          <w:color w:val="000000"/>
          <w:sz w:val="26"/>
        </w:rPr>
        <w:t>DenseNet169</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000"/>
        <w:gridCol w:w="2000"/>
        <w:gridCol w:w="2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Actual / predicted</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Normal</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Viral</w:t>
            </w:r>
          </w:p>
        </w:tc>
        <w:tc>
          <w:tcPr>
            <w:tcW w:type="dxa" w:w="2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Bacterial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Normal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234</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Viral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14</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138</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71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Bacterial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35</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375</w:t>
            </w:r>
          </w:p>
        </w:tc>
      </w:tr>
    </w:tbl>
    <w:p>
      <w:pPr>
        <w:spacing w:after="40"/>
      </w:pPr>
    </w:p>
    <w:p>
      <w:pPr>
        <w:pStyle w:val="Heading2"/>
      </w:pPr>
      <w:r>
        <w:rPr>
          <w:rFonts w:ascii="Arial" w:hAnsi="Arial" w:eastAsia="Arial"/>
          <w:b/>
          <w:color w:val="000000"/>
          <w:sz w:val="26"/>
        </w:rPr>
        <w:t>DenseNet201</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000"/>
        <w:gridCol w:w="2000"/>
        <w:gridCol w:w="2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Actual / predicted</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Normal</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Viral</w:t>
            </w:r>
          </w:p>
        </w:tc>
        <w:tc>
          <w:tcPr>
            <w:tcW w:type="dxa" w:w="2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Bacterial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Normal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233</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Viral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6</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156</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61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Bacterial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65</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347</w:t>
            </w:r>
          </w:p>
        </w:tc>
      </w:tr>
    </w:tbl>
    <w:p>
      <w:pPr>
        <w:spacing w:after="40"/>
      </w:pPr>
    </w:p>
    <w:p>
      <w:pPr>
        <w:pStyle w:val="Heading2"/>
      </w:pPr>
      <w:r>
        <w:rPr>
          <w:rFonts w:ascii="Arial" w:hAnsi="Arial" w:eastAsia="Arial"/>
          <w:b/>
          <w:color w:val="000000"/>
          <w:sz w:val="26"/>
        </w:rPr>
        <w:t>ResNet50</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000"/>
        <w:gridCol w:w="2000"/>
        <w:gridCol w:w="2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Actual / predicted</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Normal</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Viral</w:t>
            </w:r>
          </w:p>
        </w:tc>
        <w:tc>
          <w:tcPr>
            <w:tcW w:type="dxa" w:w="2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Bacterial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Normal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234</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Viral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8</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142</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73</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Bacterial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47</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364</w:t>
            </w:r>
          </w:p>
        </w:tc>
      </w:tr>
    </w:tbl>
    <w:p>
      <w:pPr>
        <w:spacing w:after="40"/>
      </w:pPr>
    </w:p>
    <w:p>
      <w:pPr>
        <w:pStyle w:val="Heading2"/>
      </w:pPr>
      <w:r>
        <w:rPr>
          <w:rFonts w:ascii="Arial" w:hAnsi="Arial" w:eastAsia="Arial"/>
          <w:b/>
          <w:color w:val="000000"/>
          <w:sz w:val="26"/>
        </w:rPr>
        <w:t>ResNet101</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000"/>
        <w:gridCol w:w="2000"/>
        <w:gridCol w:w="2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Actual / predicted</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Normal</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Viral</w:t>
            </w:r>
          </w:p>
        </w:tc>
        <w:tc>
          <w:tcPr>
            <w:tcW w:type="dxa" w:w="2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Bacterial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Normal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235</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Viral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11</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142</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70</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Bacterial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48</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364</w:t>
            </w:r>
          </w:p>
        </w:tc>
      </w:tr>
    </w:tbl>
    <w:p>
      <w:pPr>
        <w:spacing w:after="40"/>
      </w:pPr>
    </w:p>
    <w:p>
      <w:pPr>
        <w:pStyle w:val="Heading2"/>
      </w:pPr>
      <w:r>
        <w:rPr>
          <w:rFonts w:ascii="Arial" w:hAnsi="Arial" w:eastAsia="Arial"/>
          <w:b/>
          <w:color w:val="000000"/>
          <w:sz w:val="26"/>
        </w:rPr>
        <w:t>ResNet152</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000"/>
        <w:gridCol w:w="2000"/>
        <w:gridCol w:w="2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Actual / predicted</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Normal</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Viral</w:t>
            </w:r>
          </w:p>
        </w:tc>
        <w:tc>
          <w:tcPr>
            <w:tcW w:type="dxa" w:w="2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Bacterial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Normal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233</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0</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Viral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10</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143</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70</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Bacterial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49</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361</w:t>
            </w:r>
          </w:p>
        </w:tc>
      </w:tr>
    </w:tbl>
    <w:p>
      <w:pPr>
        <w:spacing w:after="40"/>
      </w:pPr>
    </w:p>
    <w:p>
      <w:pPr>
        <w:pStyle w:val="Heading2"/>
      </w:pPr>
      <w:r>
        <w:rPr>
          <w:rFonts w:ascii="Arial" w:hAnsi="Arial" w:eastAsia="Arial"/>
          <w:b/>
          <w:color w:val="000000"/>
          <w:sz w:val="26"/>
        </w:rPr>
        <w:t>YOLOv5 classification</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000"/>
        <w:gridCol w:w="2000"/>
        <w:gridCol w:w="2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Actual / predicted</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Normal</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Viral</w:t>
            </w:r>
          </w:p>
        </w:tc>
        <w:tc>
          <w:tcPr>
            <w:tcW w:type="dxa" w:w="2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Bacterial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Normal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232</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Viral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12</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117</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94</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Bacterial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14</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37</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363</w:t>
            </w:r>
          </w:p>
        </w:tc>
      </w:tr>
    </w:tbl>
    <w:p>
      <w:pPr>
        <w:spacing w:after="40"/>
      </w:pPr>
    </w:p>
    <w:p>
      <w:pPr>
        <w:pStyle w:val="Heading2"/>
      </w:pPr>
      <w:r>
        <w:rPr>
          <w:rFonts w:ascii="Arial" w:hAnsi="Arial" w:eastAsia="Arial"/>
          <w:b/>
          <w:color w:val="000000"/>
          <w:sz w:val="26"/>
        </w:rPr>
        <w:t>YOLOv8 classification</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000"/>
        <w:gridCol w:w="2000"/>
        <w:gridCol w:w="2360"/>
      </w:tblGrid>
      <w:tr>
        <w:trPr>
          <w:cantSplit/>
          <w:tblHeader w:val="true"/>
        </w:trPr>
        <w:tc>
          <w:tcPr>
            <w:tcW w:type="dxa" w:w="3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Actual / predicted</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Normal</w:t>
            </w:r>
          </w:p>
        </w:tc>
        <w:tc>
          <w:tcPr>
            <w:tcW w:type="dxa" w:w="20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Viral</w:t>
            </w:r>
          </w:p>
        </w:tc>
        <w:tc>
          <w:tcPr>
            <w:tcW w:type="dxa" w:w="23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Bacterial</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Normal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230</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Viral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15</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111</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97</w:t>
            </w:r>
          </w:p>
        </w:tc>
      </w:tr>
      <w:tr>
        <w:trPr>
          <w:cantSplit/>
        </w:trPr>
        <w:tc>
          <w:tcPr>
            <w:tcW w:type="dxa" w:w="3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Actual Bacterial</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17</w:t>
            </w:r>
          </w:p>
        </w:tc>
        <w:tc>
          <w:tcPr>
            <w:tcW w:type="dxa" w:w="20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43</w:t>
            </w:r>
          </w:p>
        </w:tc>
        <w:tc>
          <w:tcPr>
            <w:tcW w:type="dxa" w:w="23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354</w:t>
            </w:r>
          </w:p>
        </w:tc>
      </w:tr>
    </w:tbl>
    <w:p>
      <w:pPr>
        <w:spacing w:after="40"/>
      </w:pPr>
    </w:p>
    <w:p>
      <w:r>
        <w:br w:type="page"/>
      </w:r>
    </w:p>
    <w:p>
      <w:pPr>
        <w:pStyle w:val="Heading1"/>
      </w:pPr>
      <w:r>
        <w:rPr>
          <w:rFonts w:ascii="Arial" w:hAnsi="Arial" w:eastAsia="Arial"/>
          <w:b/>
          <w:color w:val="000000"/>
          <w:sz w:val="32"/>
        </w:rPr>
        <w:t>7. Interpretation</w:t>
      </w:r>
    </w:p>
    <w:p>
      <w:pPr>
        <w:pStyle w:val="ListBullet"/>
      </w:pPr>
      <w:r>
        <w:rPr>
          <w:rFonts w:ascii="Arial" w:hAnsi="Arial" w:eastAsia="Arial"/>
          <w:color w:val="000000"/>
          <w:sz w:val="21"/>
        </w:rPr>
        <w:t>DenseNet169 currently leads the primary selection metric, validation macro F1, at 84.03%.</w:t>
      </w:r>
    </w:p>
    <w:p>
      <w:pPr>
        <w:pStyle w:val="ListBullet"/>
      </w:pPr>
      <w:r>
        <w:rPr>
          <w:rFonts w:ascii="Arial" w:hAnsi="Arial" w:eastAsia="Arial"/>
          <w:color w:val="000000"/>
          <w:sz w:val="21"/>
        </w:rPr>
        <w:t>DenseNet201 has the highest validation balanced accuracy at 84.03%.</w:t>
      </w:r>
    </w:p>
    <w:p>
      <w:pPr>
        <w:pStyle w:val="ListBullet"/>
      </w:pPr>
      <w:r>
        <w:rPr>
          <w:rFonts w:ascii="Arial" w:hAnsi="Arial" w:eastAsia="Arial"/>
          <w:color w:val="000000"/>
          <w:sz w:val="21"/>
        </w:rPr>
        <w:t>DenseNet201 has the strongest Viral recall at 69.96%, but its overall accuracy is 84.21%.</w:t>
      </w:r>
    </w:p>
    <w:p>
      <w:pPr>
        <w:pStyle w:val="ListBullet"/>
      </w:pPr>
      <w:r>
        <w:rPr>
          <w:rFonts w:ascii="Arial" w:hAnsi="Arial" w:eastAsia="Arial"/>
          <w:color w:val="000000"/>
          <w:sz w:val="21"/>
        </w:rPr>
        <w:t>YOLOv8 classification is the strongest efficiency candidate: 204.2 images/second and 4.90 ms/image in the controlled timing setup.</w:t>
      </w:r>
    </w:p>
    <w:p>
      <w:pPr>
        <w:pStyle w:val="ListBullet"/>
      </w:pPr>
      <w:r>
        <w:rPr>
          <w:rFonts w:ascii="Arial" w:hAnsi="Arial" w:eastAsia="Arial"/>
          <w:color w:val="000000"/>
          <w:sz w:val="21"/>
        </w:rPr>
        <w:t>DenseNet169 and DenseNet201 are separated by less than 0.2 percentage points in macro F1, so the ordering should not be over-interpreted before preprocessing ablations, tuning, and seed robustness runs finish.</w:t>
      </w:r>
    </w:p>
    <w:p>
      <w:pPr>
        <w:pStyle w:val="ListBullet"/>
      </w:pPr>
      <w:r>
        <w:rPr>
          <w:rFonts w:ascii="Arial" w:hAnsi="Arial" w:eastAsia="Arial"/>
          <w:color w:val="000000"/>
          <w:sz w:val="21"/>
        </w:rPr>
        <w:t>The eight baseline runs recorded 7.80 cumulative GPU training hours. This is experiment time, not a clinical-performance measure.</w:t>
      </w:r>
    </w:p>
    <w:p>
      <w:r>
        <w:rPr>
          <w:rFonts w:ascii="Arial" w:hAnsi="Arial" w:eastAsia="Arial"/>
          <w:color w:val="000000"/>
          <w:sz w:val="21"/>
        </w:rPr>
        <w:t>Class-specific behavior matters more than accuracy alone. Bacterial cases are the largest class, and all completed models show high Bacterial recall. Viral cases have lower recall and are frequently predicted as Bacterial, which depresses the macro F1 and balanced accuracy despite strong Normal performance.</w:t>
      </w:r>
    </w:p>
    <w:p>
      <w:pPr>
        <w:pStyle w:val="Heading2"/>
      </w:pPr>
      <w:r>
        <w:rPr>
          <w:rFonts w:ascii="Arial" w:hAnsi="Arial" w:eastAsia="Arial"/>
          <w:b/>
          <w:color w:val="000000"/>
          <w:sz w:val="26"/>
        </w:rPr>
        <w:t>What Has and Has Not Been Established</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00"/>
        <w:gridCol w:w="7260"/>
      </w:tblGrid>
      <w:tr>
        <w:trPr>
          <w:cantSplit/>
          <w:tblHeader w:val="true"/>
        </w:trPr>
        <w:tc>
          <w:tcPr>
            <w:tcW w:type="dxa" w:w="21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Boundary</w:t>
            </w:r>
          </w:p>
        </w:tc>
        <w:tc>
          <w:tcPr>
            <w:tcW w:type="dxa" w:w="72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7"/>
              </w:rPr>
              <w:t>Meaning</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Established</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The multiclass pipeline trains reproducibly on a locked, leakage-audited manifest using the available NVIDIA GPU.</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Established</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Five completed architecture baselines have directly comparable validation artifacts.</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Not established</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A final selected architecture or preprocessing policy; the experiment matrix is still incomplete.</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Not established</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Locked-test generalization; the test set remains reserved for the final frozen evaluation.</w:t>
            </w:r>
          </w:p>
        </w:tc>
      </w:tr>
      <w:tr>
        <w:trPr>
          <w:cantSplit/>
        </w:trPr>
        <w:tc>
          <w:tcPr>
            <w:tcW w:type="dxa" w:w="21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Not established</w:t>
            </w:r>
          </w:p>
        </w:tc>
        <w:tc>
          <w:tcPr>
            <w:tcW w:type="dxa" w:w="72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7"/>
              </w:rPr>
              <w:t>Clinical usefulness, fairness, robustness across institutions, or regulatory readiness.</w:t>
            </w:r>
          </w:p>
        </w:tc>
      </w:tr>
    </w:tbl>
    <w:p>
      <w:pPr>
        <w:spacing w:after="40"/>
      </w:pPr>
    </w:p>
    <w:p>
      <w:r>
        <w:br w:type="page"/>
      </w:r>
    </w:p>
    <w:p>
      <w:pPr>
        <w:pStyle w:val="Heading1"/>
      </w:pPr>
      <w:r>
        <w:rPr>
          <w:rFonts w:ascii="Arial" w:hAnsi="Arial" w:eastAsia="Arial"/>
          <w:b/>
          <w:color w:val="000000"/>
          <w:sz w:val="32"/>
        </w:rPr>
        <w:t>8. Limitations and Remaining Work</w:t>
      </w:r>
    </w:p>
    <w:p>
      <w:pPr>
        <w:pStyle w:val="ListBullet"/>
      </w:pPr>
      <w:r>
        <w:rPr>
          <w:rFonts w:ascii="Arial" w:hAnsi="Arial" w:eastAsia="Arial"/>
          <w:color w:val="000000"/>
          <w:sz w:val="21"/>
        </w:rPr>
        <w:t>This is a single-dataset internal validation study. Distribution shift across hospitals, devices, acquisition protocols, demographics, and disease prevalence has not been measured.</w:t>
      </w:r>
    </w:p>
    <w:p>
      <w:pPr>
        <w:pStyle w:val="ListBullet"/>
      </w:pPr>
      <w:r>
        <w:rPr>
          <w:rFonts w:ascii="Arial" w:hAnsi="Arial" w:eastAsia="Arial"/>
          <w:color w:val="000000"/>
          <w:sz w:val="21"/>
        </w:rPr>
        <w:t>The dataset lacks authoritative patient metadata; conservative filename grouping reduces but cannot prove the absence of patient-level leakage.</w:t>
      </w:r>
    </w:p>
    <w:p>
      <w:pPr>
        <w:pStyle w:val="ListBullet"/>
      </w:pPr>
      <w:r>
        <w:rPr>
          <w:rFonts w:ascii="Arial" w:hAnsi="Arial" w:eastAsia="Arial"/>
          <w:color w:val="000000"/>
          <w:sz w:val="21"/>
        </w:rPr>
        <w:t>The classes come from folder and filename labels, not a new radiologist adjudication process. Label noise and ambiguous viral-versus-bacterial appearance are possible.</w:t>
      </w:r>
    </w:p>
    <w:p>
      <w:pPr>
        <w:pStyle w:val="ListBullet"/>
      </w:pPr>
      <w:r>
        <w:rPr>
          <w:rFonts w:ascii="Arial" w:hAnsi="Arial" w:eastAsia="Arial"/>
          <w:color w:val="000000"/>
          <w:sz w:val="21"/>
        </w:rPr>
        <w:t>The current table is validation-only. It does not estimate final locked-test performance.</w:t>
      </w:r>
    </w:p>
    <w:p>
      <w:pPr>
        <w:pStyle w:val="ListBullet"/>
      </w:pPr>
      <w:r>
        <w:rPr>
          <w:rFonts w:ascii="Arial" w:hAnsi="Arial" w:eastAsia="Arial"/>
          <w:color w:val="000000"/>
          <w:sz w:val="21"/>
        </w:rPr>
        <w:t>Confidence calibration is measured internally but has not been externally reviewed or calibrated for a deployment population.</w:t>
      </w:r>
    </w:p>
    <w:p>
      <w:pPr>
        <w:pStyle w:val="ListBullet"/>
      </w:pPr>
      <w:r>
        <w:rPr>
          <w:rFonts w:ascii="Arial" w:hAnsi="Arial" w:eastAsia="Arial"/>
          <w:color w:val="000000"/>
          <w:sz w:val="21"/>
        </w:rPr>
        <w:t>No clinical workflow, bias, safety, regulatory, or medical-device validation has been performed.</w:t>
      </w:r>
    </w:p>
    <w:p>
      <w:pPr>
        <w:pStyle w:val="Heading2"/>
      </w:pPr>
      <w:r>
        <w:rPr>
          <w:rFonts w:ascii="Arial" w:hAnsi="Arial" w:eastAsia="Arial"/>
          <w:b/>
          <w:color w:val="000000"/>
          <w:sz w:val="26"/>
        </w:rPr>
        <w:t>Planned Experimental Sequence</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00"/>
        <w:gridCol w:w="2800"/>
        <w:gridCol w:w="5660"/>
      </w:tblGrid>
      <w:tr>
        <w:trPr>
          <w:cantSplit/>
          <w:tblHeader w:val="true"/>
        </w:trPr>
        <w:tc>
          <w:tcPr>
            <w:tcW w:type="dxa" w:w="9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Stage</w:t>
            </w:r>
          </w:p>
        </w:tc>
        <w:tc>
          <w:tcPr>
            <w:tcW w:type="dxa" w:w="28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Work</w:t>
            </w:r>
          </w:p>
        </w:tc>
        <w:tc>
          <w:tcPr>
            <w:tcW w:type="dxa" w:w="56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Selection boundary</w:t>
            </w:r>
          </w:p>
        </w:tc>
      </w:tr>
      <w:tr>
        <w:trPr>
          <w:cantSplit/>
        </w:trPr>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1</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Run preprocessing ablations</w:t>
            </w:r>
          </w:p>
        </w:tc>
        <w:tc>
          <w:tcPr>
            <w:tcW w:type="dxa" w:w="56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CLAHE, histogram equalization, and pseudo-coloring against the fixed DenseNet121 reference architecture</w:t>
            </w:r>
          </w:p>
        </w:tc>
      </w:tr>
      <w:tr>
        <w:trPr>
          <w:cantSplit/>
        </w:trPr>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2</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Focused comparison</w:t>
            </w:r>
          </w:p>
        </w:tc>
        <w:tc>
          <w:tcPr>
            <w:tcW w:type="dxa" w:w="56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Combine the top validation architecture candidates with the best supported preprocessing policy</w:t>
            </w:r>
          </w:p>
        </w:tc>
      </w:tr>
      <w:tr>
        <w:trPr>
          <w:cantSplit/>
        </w:trPr>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3</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General tuning</w:t>
            </w:r>
          </w:p>
        </w:tc>
        <w:tc>
          <w:tcPr>
            <w:tcW w:type="dxa" w:w="56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Optuna TPE using validation metrics only; retain completed, pruned, and failed trials</w:t>
            </w:r>
          </w:p>
        </w:tc>
      </w:tr>
      <w:tr>
        <w:trPr>
          <w:cantSplit/>
        </w:trPr>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4</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Seed robustness</w:t>
            </w:r>
          </w:p>
        </w:tc>
        <w:tc>
          <w:tcPr>
            <w:tcW w:type="dxa" w:w="56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Retrain the frozen selected configuration with seeds 42, 123, and 2026</w:t>
            </w:r>
          </w:p>
        </w:tc>
      </w:tr>
      <w:tr>
        <w:trPr>
          <w:cantSplit/>
        </w:trPr>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5</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Single locked-test evaluation</w:t>
            </w:r>
          </w:p>
        </w:tc>
        <w:tc>
          <w:tcPr>
            <w:tcW w:type="dxa" w:w="56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Unseal the locked test only after architecture, preprocessing, and tuning choices are frozen</w:t>
            </w:r>
          </w:p>
        </w:tc>
      </w:tr>
      <w:tr>
        <w:trPr>
          <w:cantSplit/>
        </w:trPr>
        <w:tc>
          <w:tcPr>
            <w:tcW w:type="dxa" w:w="9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6</w:t>
            </w:r>
          </w:p>
        </w:tc>
        <w:tc>
          <w:tcPr>
            <w:tcW w:type="dxa" w:w="28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Final reporting</w:t>
            </w:r>
          </w:p>
        </w:tc>
        <w:tc>
          <w:tcPr>
            <w:tcW w:type="dxa" w:w="56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Regenerate the final Markdown and Word reports from the completed source artifacts</w:t>
            </w:r>
          </w:p>
        </w:tc>
      </w:tr>
    </w:tbl>
    <w:p>
      <w:pPr>
        <w:spacing w:after="40"/>
      </w:pPr>
    </w:p>
    <w:p>
      <w:pPr>
        <w:keepLines/>
        <w:spacing w:before="80" w:after="160"/>
        <w:pBdr>
          <w:bottom w:val="single" w:sz="6" w:space="1" w:color="000000"/>
        </w:pBdr>
      </w:pPr>
      <w:r>
        <w:rPr>
          <w:rFonts w:ascii="Arial" w:hAnsi="Arial" w:eastAsia="Arial"/>
          <w:b/>
          <w:color w:val="000000"/>
          <w:sz w:val="20"/>
        </w:rPr>
        <w:t>Clinical-use statement: the classifier is a research system. External clinical validation, broader datasets, bias assessment, calibration review, and regulatory/medical review are required before any clinical use.</w:t>
      </w:r>
    </w:p>
    <w:p>
      <w:pPr>
        <w:pStyle w:val="Heading1"/>
      </w:pPr>
      <w:r>
        <w:rPr>
          <w:rFonts w:ascii="Arial" w:hAnsi="Arial" w:eastAsia="Arial"/>
          <w:b/>
          <w:color w:val="000000"/>
          <w:sz w:val="32"/>
        </w:rPr>
        <w:t>9. Reproducibility and Artifact Map</w:t>
      </w:r>
    </w:p>
    <w:p>
      <w:r>
        <w:rPr>
          <w:rFonts w:ascii="Arial" w:hAnsi="Arial" w:eastAsia="Arial"/>
          <w:color w:val="000000"/>
          <w:sz w:val="21"/>
        </w:rPr>
        <w:t>The following repository artifacts are the sources of truth for this report. Paths are relative to the repository root so the report remains portable.</w:t>
      </w:r>
    </w:p>
    <w:tbl>
      <w:tblPr>
        <w:tblW w:type="dxa" w:w="9360"/>
        <w:jc w:val="left"/>
        <w:tblLayout w:type="fixed"/>
        <w:tblLook w:firstColumn="1" w:firstRow="1" w:lastColumn="0" w:lastRow="0" w:noHBand="0" w:noVBand="1" w:val="04A0"/>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6760"/>
      </w:tblGrid>
      <w:tr>
        <w:trPr>
          <w:cantSplit/>
          <w:tblHeader w:val="true"/>
        </w:trPr>
        <w:tc>
          <w:tcPr>
            <w:tcW w:type="dxa" w:w="260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Artifact</w:t>
            </w:r>
          </w:p>
        </w:tc>
        <w:tc>
          <w:tcPr>
            <w:tcW w:type="dxa" w:w="6760"/>
            <w:vAlign w:val="center"/>
            <w:tcMar>
              <w:top w:w="80" w:type="dxa"/>
              <w:bottom w:w="80" w:type="dxa"/>
              <w:start w:w="120" w:type="dxa"/>
              <w:end w:w="120" w:type="dxa"/>
            </w:tcMar>
            <w:shd w:val="clear" w:color="auto" w:fill="EFEFEF"/>
          </w:tcPr>
          <w:p>
            <w:pPr>
              <w:spacing w:before="0" w:after="30" w:line="240" w:lineRule="auto"/>
            </w:pPr>
            <w:r>
              <w:rPr>
                <w:rFonts w:ascii="Arial" w:hAnsi="Arial" w:eastAsia="Arial"/>
                <w:b/>
                <w:color w:val="000000"/>
                <w:sz w:val="16"/>
              </w:rPr>
              <w:t>Repository-relative location</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Locked manifests</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model/data_manifests/train_manifest.csv; val_manifest.csv; test_manifest.csv</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Class mapping</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model/data_manifests/class_mapping.json</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Split summary</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model/data_manifests/split_summary.json</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Experiment ledger</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model/results/experiment_ledger.csv and experiment_ledger.json</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Run matrix</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model/results/run_matrix.csv</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Run metrics</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model/results/runs/&lt;run_id&gt;/metrics.json</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Epoch history</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model/results/runs/&lt;run_id&gt;/history.csv</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Best / last checkpoints</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model/results/runs/&lt;run_id&gt;/best_checkpoint.pt and last_checkpoint.pt</w:t>
            </w:r>
          </w:p>
        </w:tc>
      </w:tr>
      <w:tr>
        <w:trPr>
          <w:cantSplit/>
        </w:trPr>
        <w:tc>
          <w:tcPr>
            <w:tcW w:type="dxa" w:w="260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Continuous documentation</w:t>
            </w:r>
          </w:p>
        </w:tc>
        <w:tc>
          <w:tcPr>
            <w:tcW w:type="dxa" w:w="6760"/>
            <w:vAlign w:val="center"/>
            <w:tcMar>
              <w:top w:w="80" w:type="dxa"/>
              <w:bottom w:w="80" w:type="dxa"/>
              <w:start w:w="120" w:type="dxa"/>
              <w:end w:w="120" w:type="dxa"/>
            </w:tcMar>
            <w:shd w:val="clear" w:color="auto" w:fill="FFFFFF"/>
          </w:tcPr>
          <w:p>
            <w:pPr>
              <w:spacing w:before="0" w:after="30" w:line="240" w:lineRule="auto"/>
            </w:pPr>
            <w:r>
              <w:rPr>
                <w:rFonts w:ascii="Arial" w:hAnsi="Arial" w:eastAsia="Arial"/>
                <w:b w:val="0"/>
                <w:color w:val="000000"/>
                <w:sz w:val="16"/>
              </w:rPr>
              <w:t>model/docs/CURRENT_STATUS.md; DEVELOPMENT_LOG.md; TRAINING_JOURNAL.md; ISSUES_AND_FIXES.md</w:t>
            </w:r>
          </w:p>
        </w:tc>
      </w:tr>
    </w:tbl>
    <w:p>
      <w:pPr>
        <w:spacing w:after="40"/>
      </w:pPr>
    </w:p>
    <w:p>
      <w:r>
        <w:rPr>
          <w:rFonts w:ascii="Arial" w:hAnsi="Arial" w:eastAsia="Arial"/>
          <w:color w:val="000000"/>
          <w:sz w:val="21"/>
        </w:rPr>
        <w:t>Report snapshot: July 20, 2026 at 06:44 PM Malay Peninsula Standard Time. Values should be refreshed after additional runs complete. The source Markdown, CSV, and JSON artifacts remain authoritative if the live experiment changes after this document was generated.</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olor w:val="000000"/>
        <w:sz w:val="17"/>
      </w:rPr>
      <w:t xml:space="preserve">Page </w:t>
    </w:r>
    <w:r>
      <w:rPr>
        <w:rFonts w:ascii="Arial" w:hAnsi="Arial" w:eastAsia="Arial"/>
        <w:color w:val="00000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1" w:color="000000"/>
      </w:pBdr>
    </w:pPr>
    <w:r>
      <w:rPr>
        <w:rFonts w:ascii="Arial" w:hAnsi="Arial" w:eastAsia="Arial"/>
        <w:b/>
        <w:color w:val="000000"/>
        <w:sz w:val="17"/>
      </w:rPr>
      <w:t>Pneumonia Three-Class Classification | Training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b w:val="0"/>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b w:val="0"/>
      <w:color w:val="00000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themeColor="accent1"/>
      </w:pBdr>
      <w:spacing w:after="160" w:line="240" w:lineRule="auto" w:before="0"/>
      <w:contextualSpacing/>
    </w:pPr>
    <w:rPr>
      <w:rFonts w:asciiTheme="majorHAnsi" w:eastAsiaTheme="majorEastAsia" w:hAnsiTheme="majorHAnsi" w:cstheme="majorBidi" w:ascii="Arial" w:hAnsi="Arial" w:eastAsia="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40" w:lineRule="auto"/>
    </w:pPr>
    <w:rPr>
      <w:rFonts w:asciiTheme="majorHAnsi" w:eastAsiaTheme="majorEastAsia" w:hAnsiTheme="majorHAnsi" w:cstheme="majorBidi" w:ascii="Arial" w:hAnsi="Arial" w:eastAsia="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pos="720" w:val="left"/>
      </w:tabs>
      <w:spacing w:before="0" w:after="100" w:line="264" w:lineRule="auto"/>
      <w:ind w:left="720" w:hanging="360"/>
      <w:contextualSpacing/>
    </w:pPr>
    <w:rPr>
      <w:rFonts w:ascii="Arial" w:hAnsi="Arial" w:eastAsia="Arial"/>
      <w:b w:val="0"/>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pos="720" w:val="left"/>
      </w:tabs>
      <w:spacing w:before="0" w:after="100" w:line="264" w:lineRule="auto"/>
      <w:ind w:left="720" w:hanging="360"/>
      <w:contextualSpacing/>
    </w:pPr>
    <w:rPr>
      <w:rFonts w:ascii="Arial" w:hAnsi="Arial" w:eastAsia="Arial"/>
      <w:b w:val="0"/>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val="0"/>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FEFE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EFEFE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EFEFE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shd w:val="clear" w:color="auto" w:fill="EFEFEF"/>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shd w:val="clear" w:color="auto" w:fill="EFEFEF"/>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shd w:val="clear" w:color="auto" w:fill="EFEFEF"/>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shd w:val="clear" w:color="auto" w:fill="EFEFEF"/>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shd w:val="clear" w:color="auto" w:fill="EFEFEF"/>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shd w:val="clear" w:color="auto" w:fill="EFEFEF"/>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shd w:val="clear" w:color="auto" w:fill="EFEFEF"/>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shd w:val="clear" w:color="auto" w:fill="EFEFEF"/>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EFEFE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EFEFE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FEFEF"/>
      </w:tcPr>
    </w:tblStylePr>
    <w:tblStylePr w:type="band1Horz">
      <w:tblPr/>
      <w:tcPr>
        <w:shd w:val="clear" w:color="auto" w:fill="EFEFE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EFEFEF"/>
      </w:tcPr>
    </w:tblStylePr>
    <w:tblStylePr w:type="band1Horz">
      <w:tblPr/>
      <w:tcPr>
        <w:shd w:val="clear" w:color="auto" w:fill="EFEFE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000000"/>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shd w:val="clear" w:color="auto" w:fill="EFEFEF"/>
      </w:tcPr>
    </w:tblStylePr>
    <w:tblStylePr w:type="band1Horz">
      <w:tblPr/>
      <w:tcPr>
        <w:shd w:val="clear" w:color="auto" w:fill="EFEFE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000000"/>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shd w:val="clear" w:color="auto" w:fill="EFEFEF"/>
      </w:tcPr>
    </w:tblStylePr>
    <w:tblStylePr w:type="band1Horz">
      <w:tblPr/>
      <w:tcPr>
        <w:shd w:val="clear" w:color="auto" w:fill="EFEFE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000000"/>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shd w:val="clear" w:color="auto" w:fill="EFEFEF"/>
      </w:tcPr>
    </w:tblStylePr>
    <w:tblStylePr w:type="band1Horz">
      <w:tblPr/>
      <w:tcPr>
        <w:shd w:val="clear" w:color="auto" w:fill="EFEFE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000000"/>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shd w:val="clear" w:color="auto" w:fill="EFEFEF"/>
      </w:tcPr>
    </w:tblStylePr>
    <w:tblStylePr w:type="band1Horz">
      <w:tblPr/>
      <w:tcPr>
        <w:shd w:val="clear" w:color="auto" w:fill="EFEFE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000000"/>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EFEFEF"/>
      </w:tcPr>
    </w:tblStylePr>
    <w:tblStylePr w:type="band1Horz">
      <w:tblPr/>
      <w:tcPr>
        <w:shd w:val="clear" w:color="auto" w:fill="EFEFE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tblPr/>
      <w:tcPr>
        <w:tcBorders>
          <w:top w:val="single" w:sz="8" w:space="0" w:color="0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2"/>
          <w:insideH w:val="nil"/>
          <w:insideV w:val="nil"/>
        </w:tcBorders>
        <w:shd w:val="clear" w:color="auto" w:fill="FFFFFF" w:themeFill="background1"/>
      </w:tcPr>
    </w:tblStylePr>
    <w:tblStylePr w:type="lastCol">
      <w:tblPr/>
      <w:tcPr>
        <w:tcBorders>
          <w:top w:val="nil"/>
          <w:left w:val="single" w:sz="8" w:space="0" w:color="0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tblPr/>
      <w:tcPr>
        <w:tcBorders>
          <w:top w:val="single" w:sz="8" w:space="0" w:color="0000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3"/>
          <w:insideH w:val="nil"/>
          <w:insideV w:val="nil"/>
        </w:tcBorders>
        <w:shd w:val="clear" w:color="auto" w:fill="FFFFFF" w:themeFill="background1"/>
      </w:tcPr>
    </w:tblStylePr>
    <w:tblStylePr w:type="lastCol">
      <w:tblPr/>
      <w:tcPr>
        <w:tcBorders>
          <w:top w:val="nil"/>
          <w:left w:val="single" w:sz="8" w:space="0" w:color="0000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tblPr/>
      <w:tcPr>
        <w:tcBorders>
          <w:top w:val="single" w:sz="8" w:space="0" w:color="00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4"/>
          <w:insideH w:val="nil"/>
          <w:insideV w:val="nil"/>
        </w:tcBorders>
        <w:shd w:val="clear" w:color="auto" w:fill="FFFFFF" w:themeFill="background1"/>
      </w:tcPr>
    </w:tblStylePr>
    <w:tblStylePr w:type="lastCol">
      <w:tblPr/>
      <w:tcPr>
        <w:tcBorders>
          <w:top w:val="nil"/>
          <w:left w:val="single" w:sz="8" w:space="0" w:color="00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tblPr/>
      <w:tcPr>
        <w:tcBorders>
          <w:top w:val="single" w:sz="8" w:space="0" w:color="0000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5"/>
          <w:insideH w:val="nil"/>
          <w:insideV w:val="nil"/>
        </w:tcBorders>
        <w:shd w:val="clear" w:color="auto" w:fill="FFFFFF" w:themeFill="background1"/>
      </w:tcPr>
    </w:tblStylePr>
    <w:tblStylePr w:type="lastCol">
      <w:tblPr/>
      <w:tcPr>
        <w:tcBorders>
          <w:top w:val="nil"/>
          <w:left w:val="single" w:sz="8" w:space="0" w:color="0000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insideV w:val="single" w:sz="8" w:space="0" w:color="000000" w:themeColor="text1"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tex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insideV w:val="single" w:sz="8" w:space="0" w:color="000000" w:themeColor="accent1"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insideV w:val="single" w:sz="8" w:space="0" w:color="000000" w:themeColor="accent2"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2"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insideV w:val="single" w:sz="8" w:space="0" w:color="000000" w:themeColor="accent3"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3"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insideV w:val="single" w:sz="8" w:space="0" w:color="000000" w:themeColor="accent4"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4"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insideV w:val="single" w:sz="8" w:space="0" w:color="000000" w:themeColor="accent5"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5"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insideV w:val="single" w:sz="8" w:space="0" w:color="000000" w:themeColor="accent6"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6"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text1"/>
          <w:insideV w:val="single" w:sz="6" w:space="0" w:color="000000" w:themeColor="text1"/>
        </w:tcBorders>
        <w:shd w:val="clear" w:color="auto" w:fill="EFEFE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1"/>
          <w:insideV w:val="single" w:sz="6" w:space="0" w:color="000000" w:themeColor="accent1"/>
        </w:tcBorders>
        <w:shd w:val="clear" w:color="auto" w:fill="EFEFE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2"/>
          <w:insideV w:val="single" w:sz="6" w:space="0" w:color="000000" w:themeColor="accent2"/>
        </w:tcBorders>
        <w:shd w:val="clear" w:color="auto" w:fill="EFEFE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3"/>
          <w:insideV w:val="single" w:sz="6" w:space="0" w:color="000000" w:themeColor="accent3"/>
        </w:tcBorders>
        <w:shd w:val="clear" w:color="auto" w:fill="EFEFE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4"/>
          <w:insideV w:val="single" w:sz="6" w:space="0" w:color="000000" w:themeColor="accent4"/>
        </w:tcBorders>
        <w:shd w:val="clear" w:color="auto" w:fill="EFEFE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5"/>
          <w:insideV w:val="single" w:sz="6" w:space="0" w:color="000000" w:themeColor="accent5"/>
        </w:tcBorders>
        <w:shd w:val="clear" w:color="auto" w:fill="EFEFE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6"/>
          <w:insideV w:val="single" w:sz="6" w:space="0" w:color="000000" w:themeColor="accent6"/>
        </w:tcBorders>
        <w:shd w:val="clear" w:color="auto" w:fill="EFEFE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000000" w:themeFill="text1"/>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000000" w:themeFill="text1"/>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00000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000000"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1"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2"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3"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4"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5"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6"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lastRow">
      <w:pPr>
        <w:spacing w:before="0" w:after="0" w:line="240" w:lineRule="auto"/>
      </w:pPr>
      <w:rPr>
        <w:b/>
        <w:bCs/>
      </w:rPr>
      <w:tblPr/>
      <w:tcPr>
        <w:tcBorders>
          <w:top w:val="single" w:sz="8" w:space="0" w:color="000000" w:themeColor="accent2"/>
          <w:left w:val="nil"/>
          <w:bottom w:val="single" w:sz="8" w:space="0" w:color="0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lastRow">
      <w:pPr>
        <w:spacing w:before="0" w:after="0" w:line="240" w:lineRule="auto"/>
      </w:pPr>
      <w:rPr>
        <w:b/>
        <w:bCs/>
      </w:rPr>
      <w:tblPr/>
      <w:tcPr>
        <w:tcBorders>
          <w:top w:val="single" w:sz="8" w:space="0" w:color="000000" w:themeColor="accent3"/>
          <w:left w:val="nil"/>
          <w:bottom w:val="single" w:sz="8" w:space="0" w:color="0000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lastRow">
      <w:pPr>
        <w:spacing w:before="0" w:after="0" w:line="240" w:lineRule="auto"/>
      </w:pPr>
      <w:rPr>
        <w:b/>
        <w:bCs/>
      </w:rPr>
      <w:tblPr/>
      <w:tcPr>
        <w:tcBorders>
          <w:top w:val="single" w:sz="8" w:space="0" w:color="000000" w:themeColor="accent4"/>
          <w:left w:val="nil"/>
          <w:bottom w:val="single" w:sz="8" w:space="0" w:color="000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lastRow">
      <w:pPr>
        <w:spacing w:before="0" w:after="0" w:line="240" w:lineRule="auto"/>
      </w:pPr>
      <w:rPr>
        <w:b/>
        <w:bCs/>
      </w:rPr>
      <w:tblPr/>
      <w:tcPr>
        <w:tcBorders>
          <w:top w:val="single" w:sz="8" w:space="0" w:color="000000" w:themeColor="accent5"/>
          <w:left w:val="nil"/>
          <w:bottom w:val="single" w:sz="8" w:space="0" w:color="0000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lastRow">
      <w:pPr>
        <w:spacing w:before="0" w:after="0" w:line="240" w:lineRule="auto"/>
      </w:pPr>
      <w:rPr>
        <w:b/>
        <w:bCs/>
      </w:rPr>
      <w:tblPr/>
      <w:tcPr>
        <w:tcBorders>
          <w:top w:val="single" w:sz="8" w:space="0" w:color="000000" w:themeColor="accent6"/>
          <w:left w:val="nil"/>
          <w:bottom w:val="single" w:sz="8" w:space="0" w:color="0000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EFEF"/>
      </w:tcPr>
    </w:tblStylePr>
    <w:tblStylePr w:type="band1Horz">
      <w:tblPr/>
      <w:tcPr>
        <w:tcBorders>
          <w:left w:val="nil"/>
          <w:right w:val="nil"/>
          <w:insideH w:val="nil"/>
          <w:insideV w:val="nil"/>
        </w:tcBorders>
        <w:shd w:val="clear" w:color="auto" w:fill="EFEFE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tcBorders>
      </w:tcPr>
    </w:tblStylePr>
    <w:tblStylePr w:type="firstCol">
      <w:rPr>
        <w:b/>
        <w:bCs/>
      </w:rPr>
    </w:tblStylePr>
    <w:tblStylePr w:type="lastCol">
      <w:rPr>
        <w:b/>
        <w:bCs/>
      </w:r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tcBorders>
      </w:tcPr>
    </w:tblStylePr>
    <w:tblStylePr w:type="firstCol">
      <w:rPr>
        <w:b/>
        <w:bCs/>
      </w:rPr>
    </w:tblStylePr>
    <w:tblStylePr w:type="lastCol">
      <w:rPr>
        <w:b/>
        <w:bCs/>
      </w:r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tcBorders>
      </w:tcPr>
    </w:tblStylePr>
    <w:tblStylePr w:type="firstCol">
      <w:rPr>
        <w:b/>
        <w:bCs/>
      </w:rPr>
    </w:tblStylePr>
    <w:tblStylePr w:type="lastCol">
      <w:rPr>
        <w:b/>
        <w:bCs/>
      </w:r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tcBorders>
      </w:tcPr>
    </w:tblStylePr>
    <w:tblStylePr w:type="firstCol">
      <w:rPr>
        <w:b/>
        <w:bCs/>
      </w:rPr>
    </w:tblStylePr>
    <w:tblStylePr w:type="lastCol">
      <w:rPr>
        <w:b/>
        <w:bCs/>
      </w:r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EFEFEF"/>
      </w:tcPr>
    </w:tblStylePr>
    <w:tblStylePr w:type="lastRow">
      <w:pPr>
        <w:spacing w:before="0" w:after="0" w:line="240" w:lineRule="auto"/>
      </w:pPr>
      <w:rPr>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tcBorders>
      </w:tcPr>
    </w:tblStylePr>
    <w:tblStylePr w:type="firstCol">
      <w:rPr>
        <w:b/>
        <w:bCs/>
      </w:rPr>
    </w:tblStylePr>
    <w:tblStylePr w:type="lastCol">
      <w:rPr>
        <w:b/>
        <w:bCs/>
      </w:r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EFE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FEFE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EFEFE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EFEFE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18" w:space="0" w:color="000000" w:themeColor="accent2"/>
          <w:right w:val="single" w:sz="8" w:space="0" w:color="000000" w:themeColor="accent2"/>
          <w:insideH w:val="nil"/>
          <w:insideV w:val="single" w:sz="8" w:space="0" w:color="0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2"/>
          <w:left w:val="single" w:sz="8" w:space="0" w:color="000000" w:themeColor="accent2"/>
          <w:bottom w:val="single" w:sz="8" w:space="0" w:color="000000" w:themeColor="accent2"/>
          <w:right w:val="single" w:sz="8" w:space="0" w:color="000000" w:themeColor="accent2"/>
          <w:insideH w:val="nil"/>
          <w:insideV w:val="single" w:sz="8" w:space="0" w:color="0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tcPr>
    </w:tblStylePr>
    <w:tblStylePr w:type="band1Vert">
      <w:tblPr/>
      <w:tcPr>
        <w:tcBorders>
          <w:top w:val="single" w:sz="8" w:space="0" w:color="000000" w:themeColor="accent2"/>
          <w:left w:val="single" w:sz="8" w:space="0" w:color="000000" w:themeColor="accent2"/>
          <w:bottom w:val="single" w:sz="8" w:space="0" w:color="000000" w:themeColor="accent2"/>
          <w:right w:val="single" w:sz="8" w:space="0" w:color="000000" w:themeColor="accent2"/>
        </w:tcBorders>
        <w:shd w:val="clear" w:color="auto" w:fill="EFEFEF"/>
      </w:tcPr>
    </w:tblStylePr>
    <w:tblStylePr w:type="band1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shd w:val="clear" w:color="auto" w:fill="EFEFEF"/>
      </w:tcPr>
    </w:tblStylePr>
    <w:tblStylePr w:type="band2Horz">
      <w:tblPr/>
      <w:tcPr>
        <w:tcBorders>
          <w:top w:val="single" w:sz="8" w:space="0" w:color="000000" w:themeColor="accent2"/>
          <w:left w:val="single" w:sz="8" w:space="0" w:color="000000" w:themeColor="accent2"/>
          <w:bottom w:val="single" w:sz="8" w:space="0" w:color="000000" w:themeColor="accent2"/>
          <w:right w:val="single" w:sz="8" w:space="0" w:color="000000" w:themeColor="accent2"/>
          <w:insideV w:val="single" w:sz="8" w:space="0" w:color="00000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18" w:space="0" w:color="000000" w:themeColor="accent3"/>
          <w:right w:val="single" w:sz="8" w:space="0" w:color="000000" w:themeColor="accent3"/>
          <w:insideH w:val="nil"/>
          <w:insideV w:val="single" w:sz="8" w:space="0" w:color="0000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3"/>
          <w:left w:val="single" w:sz="8" w:space="0" w:color="000000" w:themeColor="accent3"/>
          <w:bottom w:val="single" w:sz="8" w:space="0" w:color="000000" w:themeColor="accent3"/>
          <w:right w:val="single" w:sz="8" w:space="0" w:color="000000" w:themeColor="accent3"/>
          <w:insideH w:val="nil"/>
          <w:insideV w:val="single" w:sz="8" w:space="0" w:color="0000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tcPr>
    </w:tblStylePr>
    <w:tblStylePr w:type="band1Vert">
      <w:tblPr/>
      <w:tcPr>
        <w:tcBorders>
          <w:top w:val="single" w:sz="8" w:space="0" w:color="000000" w:themeColor="accent3"/>
          <w:left w:val="single" w:sz="8" w:space="0" w:color="000000" w:themeColor="accent3"/>
          <w:bottom w:val="single" w:sz="8" w:space="0" w:color="000000" w:themeColor="accent3"/>
          <w:right w:val="single" w:sz="8" w:space="0" w:color="000000" w:themeColor="accent3"/>
        </w:tcBorders>
        <w:shd w:val="clear" w:color="auto" w:fill="EFEFEF"/>
      </w:tcPr>
    </w:tblStylePr>
    <w:tblStylePr w:type="band1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shd w:val="clear" w:color="auto" w:fill="EFEFEF"/>
      </w:tcPr>
    </w:tblStylePr>
    <w:tblStylePr w:type="band2Horz">
      <w:tblPr/>
      <w:tcPr>
        <w:tcBorders>
          <w:top w:val="single" w:sz="8" w:space="0" w:color="000000" w:themeColor="accent3"/>
          <w:left w:val="single" w:sz="8" w:space="0" w:color="000000" w:themeColor="accent3"/>
          <w:bottom w:val="single" w:sz="8" w:space="0" w:color="000000" w:themeColor="accent3"/>
          <w:right w:val="single" w:sz="8" w:space="0" w:color="000000" w:themeColor="accent3"/>
          <w:insideV w:val="single" w:sz="8" w:space="0" w:color="00000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18" w:space="0" w:color="000000" w:themeColor="accent4"/>
          <w:right w:val="single" w:sz="8" w:space="0" w:color="000000" w:themeColor="accent4"/>
          <w:insideH w:val="nil"/>
          <w:insideV w:val="single" w:sz="8" w:space="0" w:color="000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4"/>
          <w:left w:val="single" w:sz="8" w:space="0" w:color="000000" w:themeColor="accent4"/>
          <w:bottom w:val="single" w:sz="8" w:space="0" w:color="000000" w:themeColor="accent4"/>
          <w:right w:val="single" w:sz="8" w:space="0" w:color="000000" w:themeColor="accent4"/>
          <w:insideH w:val="nil"/>
          <w:insideV w:val="single" w:sz="8" w:space="0" w:color="000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tcPr>
    </w:tblStylePr>
    <w:tblStylePr w:type="band1Vert">
      <w:tblPr/>
      <w:tcPr>
        <w:tcBorders>
          <w:top w:val="single" w:sz="8" w:space="0" w:color="000000" w:themeColor="accent4"/>
          <w:left w:val="single" w:sz="8" w:space="0" w:color="000000" w:themeColor="accent4"/>
          <w:bottom w:val="single" w:sz="8" w:space="0" w:color="000000" w:themeColor="accent4"/>
          <w:right w:val="single" w:sz="8" w:space="0" w:color="000000" w:themeColor="accent4"/>
        </w:tcBorders>
        <w:shd w:val="clear" w:color="auto" w:fill="EFEFEF"/>
      </w:tcPr>
    </w:tblStylePr>
    <w:tblStylePr w:type="band1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shd w:val="clear" w:color="auto" w:fill="EFEFEF"/>
      </w:tcPr>
    </w:tblStylePr>
    <w:tblStylePr w:type="band2Horz">
      <w:tblPr/>
      <w:tcPr>
        <w:tcBorders>
          <w:top w:val="single" w:sz="8" w:space="0" w:color="000000" w:themeColor="accent4"/>
          <w:left w:val="single" w:sz="8" w:space="0" w:color="000000" w:themeColor="accent4"/>
          <w:bottom w:val="single" w:sz="8" w:space="0" w:color="000000" w:themeColor="accent4"/>
          <w:right w:val="single" w:sz="8" w:space="0" w:color="000000" w:themeColor="accent4"/>
          <w:insideV w:val="single" w:sz="8" w:space="0" w:color="000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18" w:space="0" w:color="000000" w:themeColor="accent5"/>
          <w:right w:val="single" w:sz="8" w:space="0" w:color="000000" w:themeColor="accent5"/>
          <w:insideH w:val="nil"/>
          <w:insideV w:val="single" w:sz="8" w:space="0" w:color="0000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5"/>
          <w:left w:val="single" w:sz="8" w:space="0" w:color="000000" w:themeColor="accent5"/>
          <w:bottom w:val="single" w:sz="8" w:space="0" w:color="000000" w:themeColor="accent5"/>
          <w:right w:val="single" w:sz="8" w:space="0" w:color="000000" w:themeColor="accent5"/>
          <w:insideH w:val="nil"/>
          <w:insideV w:val="single" w:sz="8" w:space="0" w:color="0000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tcPr>
    </w:tblStylePr>
    <w:tblStylePr w:type="band1Vert">
      <w:tblPr/>
      <w:tcPr>
        <w:tcBorders>
          <w:top w:val="single" w:sz="8" w:space="0" w:color="000000" w:themeColor="accent5"/>
          <w:left w:val="single" w:sz="8" w:space="0" w:color="000000" w:themeColor="accent5"/>
          <w:bottom w:val="single" w:sz="8" w:space="0" w:color="000000" w:themeColor="accent5"/>
          <w:right w:val="single" w:sz="8" w:space="0" w:color="000000" w:themeColor="accent5"/>
        </w:tcBorders>
        <w:shd w:val="clear" w:color="auto" w:fill="EFEFEF"/>
      </w:tcPr>
    </w:tblStylePr>
    <w:tblStylePr w:type="band1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shd w:val="clear" w:color="auto" w:fill="EFEFEF"/>
      </w:tcPr>
    </w:tblStylePr>
    <w:tblStylePr w:type="band2Horz">
      <w:tblPr/>
      <w:tcPr>
        <w:tcBorders>
          <w:top w:val="single" w:sz="8" w:space="0" w:color="000000" w:themeColor="accent5"/>
          <w:left w:val="single" w:sz="8" w:space="0" w:color="000000" w:themeColor="accent5"/>
          <w:bottom w:val="single" w:sz="8" w:space="0" w:color="000000" w:themeColor="accent5"/>
          <w:right w:val="single" w:sz="8" w:space="0" w:color="000000" w:themeColor="accent5"/>
          <w:insideV w:val="single" w:sz="8" w:space="0" w:color="000000"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18" w:space="0" w:color="000000" w:themeColor="accent6"/>
          <w:right w:val="single" w:sz="8" w:space="0" w:color="000000" w:themeColor="accent6"/>
          <w:insideH w:val="nil"/>
          <w:insideV w:val="single" w:sz="8" w:space="0" w:color="0000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6"/>
          <w:left w:val="single" w:sz="8" w:space="0" w:color="000000" w:themeColor="accent6"/>
          <w:bottom w:val="single" w:sz="8" w:space="0" w:color="000000" w:themeColor="accent6"/>
          <w:right w:val="single" w:sz="8" w:space="0" w:color="000000" w:themeColor="accent6"/>
          <w:insideH w:val="nil"/>
          <w:insideV w:val="single" w:sz="8" w:space="0" w:color="0000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tcPr>
    </w:tblStylePr>
    <w:tblStylePr w:type="band1Vert">
      <w:tblPr/>
      <w:tcPr>
        <w:tcBorders>
          <w:top w:val="single" w:sz="8" w:space="0" w:color="000000" w:themeColor="accent6"/>
          <w:left w:val="single" w:sz="8" w:space="0" w:color="000000" w:themeColor="accent6"/>
          <w:bottom w:val="single" w:sz="8" w:space="0" w:color="000000" w:themeColor="accent6"/>
          <w:right w:val="single" w:sz="8" w:space="0" w:color="000000" w:themeColor="accent6"/>
        </w:tcBorders>
        <w:shd w:val="clear" w:color="auto" w:fill="EFEFEF"/>
      </w:tcPr>
    </w:tblStylePr>
    <w:tblStylePr w:type="band1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shd w:val="clear" w:color="auto" w:fill="EFEFEF"/>
      </w:tcPr>
    </w:tblStylePr>
    <w:tblStylePr w:type="band2Horz">
      <w:tblPr/>
      <w:tcPr>
        <w:tcBorders>
          <w:top w:val="single" w:sz="8" w:space="0" w:color="000000" w:themeColor="accent6"/>
          <w:left w:val="single" w:sz="8" w:space="0" w:color="000000" w:themeColor="accent6"/>
          <w:bottom w:val="single" w:sz="8" w:space="0" w:color="000000" w:themeColor="accent6"/>
          <w:right w:val="single" w:sz="8" w:space="0" w:color="000000" w:themeColor="accent6"/>
          <w:insideV w:val="single" w:sz="8" w:space="0" w:color="00000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shd w:val="clear" w:color="auto" w:fill="EFEFEF"/>
      </w:tcPr>
    </w:tblStylePr>
    <w:tblStylePr w:type="lastRow">
      <w:pPr>
        <w:spacing w:before="0" w:after="0" w:line="240" w:lineRule="auto"/>
      </w:pPr>
      <w:rPr>
        <w:b/>
        <w:bCs/>
      </w:rPr>
      <w:tblPr/>
      <w:tcPr>
        <w:tcBorders>
          <w:top w:val="double" w:sz="6"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nil"/>
          <w:insideV w:val="nil"/>
        </w:tcBorders>
      </w:tcPr>
    </w:tblStylePr>
    <w:tblStylePr w:type="firstCol">
      <w:rPr>
        <w:b/>
        <w:bCs/>
      </w:rPr>
    </w:tblStylePr>
    <w:tblStylePr w:type="lastCol">
      <w:rPr>
        <w:b/>
        <w:bCs/>
      </w:rPr>
    </w:tblStylePr>
    <w:tblStylePr w:type="band1Vert">
      <w:tblPr/>
      <w:tcPr>
        <w:shd w:val="clear" w:color="auto" w:fill="EFEFEF"/>
      </w:tcPr>
    </w:tblStylePr>
    <w:tblStylePr w:type="band1Horz">
      <w:tblPr/>
      <w:tcPr>
        <w:tcBorders>
          <w:insideH w:val="nil"/>
          <w:insideV w:val="nil"/>
        </w:tcBorders>
        <w:shd w:val="clear" w:color="auto" w:fill="EFEFE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000000"/>
        <w:bottom w:val="single" w:sz="18" w:space="0" w:color="00000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000000"/>
          <w:left w:val="nil"/>
          <w:bottom w:val="single" w:sz="18" w:space="0" w:color="000000"/>
          <w:right w:val="nil"/>
          <w:insideH w:val="nil"/>
          <w:insideV w:val="nil"/>
        </w:tcBorders>
        <w:shd w:val="clear" w:color="auto" w:fill="EFEFEF"/>
      </w:tcPr>
    </w:tblStylePr>
    <w:tblStylePr w:type="lastRow">
      <w:pPr>
        <w:spacing w:before="0" w:after="0" w:line="240" w:lineRule="auto"/>
      </w:pPr>
      <w:rPr>
        <w:color w:val="auto"/>
      </w:rPr>
      <w:tblPr/>
      <w:tcPr>
        <w:tcBorders>
          <w:top w:val="double" w:sz="6" w:space="0" w:color="000000"/>
          <w:left w:val="nil"/>
          <w:bottom w:val="single" w:sz="18" w:space="0" w:color="000000"/>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000000"/>
          <w:right w:val="nil"/>
          <w:insideH w:val="nil"/>
          <w:insideV w:val="nil"/>
        </w:tcBorders>
        <w:shd w:val="clear" w:color="auto" w:fill="EFEFEF"/>
      </w:tcPr>
    </w:tblStylePr>
    <w:tblStylePr w:type="lastCol">
      <w:rPr>
        <w:b/>
        <w:bCs/>
        <w:color w:val="000000"/>
      </w:rPr>
      <w:tblPr/>
      <w:tcPr>
        <w:tcBorders>
          <w:left w:val="nil"/>
          <w:right w:val="nil"/>
          <w:insideH w:val="nil"/>
          <w:insideV w:val="nil"/>
        </w:tcBorders>
        <w:shd w:val="clear" w:color="auto" w:fill="EFEFEF"/>
      </w:tcPr>
    </w:tblStylePr>
    <w:tblStylePr w:type="band1Vert">
      <w:tblPr/>
      <w:tcPr>
        <w:tcBorders>
          <w:left w:val="nil"/>
          <w:right w:val="nil"/>
          <w:insideH w:val="nil"/>
          <w:insideV w:val="nil"/>
        </w:tcBorders>
        <w:shd w:val="clear" w:color="auto" w:fill="EFEFEF"/>
      </w:tcPr>
    </w:tblStylePr>
    <w:tblStylePr w:type="band1Horz">
      <w:tblPr/>
      <w:tcPr>
        <w:shd w:val="clear" w:color="auto" w:fill="EFEFEF"/>
      </w:tcPr>
    </w:tblStylePr>
    <w:tblStylePr w:type="neCell">
      <w:tblPr/>
      <w:tcPr>
        <w:tcBorders>
          <w:top w:val="single" w:sz="18" w:space="0" w:color="000000"/>
          <w:left w:val="nil"/>
          <w:bottom w:val="single" w:sz="18" w:space="0" w:color="000000"/>
          <w:right w:val="nil"/>
          <w:insideH w:val="nil"/>
          <w:insideV w:val="nil"/>
        </w:tcBorders>
      </w:tcPr>
    </w:tblStylePr>
    <w:tblStylePr w:type="nwCell">
      <w:rPr>
        <w:color w:val="000000"/>
      </w:rPr>
      <w:tblPr/>
      <w:tcPr>
        <w:tcBorders>
          <w:top w:val="single" w:sz="18" w:space="0" w:color="000000"/>
          <w:left w:val="nil"/>
          <w:bottom w:val="single" w:sz="18" w:space="0" w:color="00000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FEFEF"/>
      </w:tcPr>
    </w:tblStylePr>
    <w:tblStylePr w:type="band1Horz">
      <w:tblPr/>
      <w:tcPr>
        <w:shd w:val="clear" w:color="auto" w:fill="EFEFE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1"/>
        <w:bottom w:val="single" w:sz="8" w:space="0" w:color="000000"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EFEFEF"/>
      </w:tcPr>
    </w:tblStylePr>
    <w:tblStylePr w:type="band1Horz">
      <w:tblPr/>
      <w:tcPr>
        <w:shd w:val="clear" w:color="auto" w:fill="EFEFE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2"/>
        <w:bottom w:val="single" w:sz="8" w:space="0" w:color="00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2"/>
        </w:tcBorders>
      </w:tcPr>
    </w:tblStylePr>
    <w:tblStylePr w:type="lastRow">
      <w:rPr>
        <w:b/>
        <w:bCs/>
        <w:color w:val="000000"/>
      </w:rPr>
      <w:tblPr/>
      <w:tcPr>
        <w:tcBorders>
          <w:top w:val="single" w:sz="8" w:space="0" w:color="000000" w:themeColor="accent2"/>
          <w:bottom w:val="single" w:sz="8" w:space="0" w:color="000000" w:themeColor="accent2"/>
        </w:tcBorders>
      </w:tcPr>
    </w:tblStylePr>
    <w:tblStylePr w:type="firstCol">
      <w:rPr>
        <w:b/>
        <w:bCs/>
      </w:rPr>
    </w:tblStylePr>
    <w:tblStylePr w:type="lastCol">
      <w:rPr>
        <w:b/>
        <w:bCs/>
      </w:rPr>
      <w:tblPr/>
      <w:tcPr>
        <w:tcBorders>
          <w:top w:val="single" w:sz="8" w:space="0" w:color="000000" w:themeColor="accent2"/>
          <w:bottom w:val="single" w:sz="8" w:space="0" w:color="000000" w:themeColor="accent2"/>
        </w:tcBorders>
      </w:tcPr>
    </w:tblStylePr>
    <w:tblStylePr w:type="band1Vert">
      <w:tblPr/>
      <w:tcPr>
        <w:shd w:val="clear" w:color="auto" w:fill="EFEFEF"/>
      </w:tcPr>
    </w:tblStylePr>
    <w:tblStylePr w:type="band1Horz">
      <w:tblPr/>
      <w:tcPr>
        <w:shd w:val="clear" w:color="auto" w:fill="EFEFE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3"/>
        <w:bottom w:val="single" w:sz="8" w:space="0" w:color="000000"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3"/>
        </w:tcBorders>
      </w:tcPr>
    </w:tblStylePr>
    <w:tblStylePr w:type="lastRow">
      <w:rPr>
        <w:b/>
        <w:bCs/>
        <w:color w:val="000000"/>
      </w:rPr>
      <w:tblPr/>
      <w:tcPr>
        <w:tcBorders>
          <w:top w:val="single" w:sz="8" w:space="0" w:color="000000" w:themeColor="accent3"/>
          <w:bottom w:val="single" w:sz="8" w:space="0" w:color="000000" w:themeColor="accent3"/>
        </w:tcBorders>
      </w:tcPr>
    </w:tblStylePr>
    <w:tblStylePr w:type="firstCol">
      <w:rPr>
        <w:b/>
        <w:bCs/>
      </w:rPr>
    </w:tblStylePr>
    <w:tblStylePr w:type="lastCol">
      <w:rPr>
        <w:b/>
        <w:bCs/>
      </w:rPr>
      <w:tblPr/>
      <w:tcPr>
        <w:tcBorders>
          <w:top w:val="single" w:sz="8" w:space="0" w:color="000000" w:themeColor="accent3"/>
          <w:bottom w:val="single" w:sz="8" w:space="0" w:color="000000" w:themeColor="accent3"/>
        </w:tcBorders>
      </w:tcPr>
    </w:tblStylePr>
    <w:tblStylePr w:type="band1Vert">
      <w:tblPr/>
      <w:tcPr>
        <w:shd w:val="clear" w:color="auto" w:fill="EFEFEF"/>
      </w:tcPr>
    </w:tblStylePr>
    <w:tblStylePr w:type="band1Horz">
      <w:tblPr/>
      <w:tcPr>
        <w:shd w:val="clear" w:color="auto" w:fill="EFEFE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4"/>
        <w:bottom w:val="single" w:sz="8" w:space="0" w:color="000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4"/>
        </w:tcBorders>
      </w:tcPr>
    </w:tblStylePr>
    <w:tblStylePr w:type="lastRow">
      <w:rPr>
        <w:b/>
        <w:bCs/>
        <w:color w:val="000000"/>
      </w:rPr>
      <w:tblPr/>
      <w:tcPr>
        <w:tcBorders>
          <w:top w:val="single" w:sz="8" w:space="0" w:color="000000" w:themeColor="accent4"/>
          <w:bottom w:val="single" w:sz="8" w:space="0" w:color="000000" w:themeColor="accent4"/>
        </w:tcBorders>
      </w:tcPr>
    </w:tblStylePr>
    <w:tblStylePr w:type="firstCol">
      <w:rPr>
        <w:b/>
        <w:bCs/>
      </w:rPr>
    </w:tblStylePr>
    <w:tblStylePr w:type="lastCol">
      <w:rPr>
        <w:b/>
        <w:bCs/>
      </w:rPr>
      <w:tblPr/>
      <w:tcPr>
        <w:tcBorders>
          <w:top w:val="single" w:sz="8" w:space="0" w:color="000000" w:themeColor="accent4"/>
          <w:bottom w:val="single" w:sz="8" w:space="0" w:color="000000" w:themeColor="accent4"/>
        </w:tcBorders>
      </w:tcPr>
    </w:tblStylePr>
    <w:tblStylePr w:type="band1Vert">
      <w:tblPr/>
      <w:tcPr>
        <w:shd w:val="clear" w:color="auto" w:fill="EFEFEF"/>
      </w:tcPr>
    </w:tblStylePr>
    <w:tblStylePr w:type="band1Horz">
      <w:tblPr/>
      <w:tcPr>
        <w:shd w:val="clear" w:color="auto" w:fill="EFEFE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5"/>
        <w:bottom w:val="single" w:sz="8" w:space="0" w:color="000000"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5"/>
        </w:tcBorders>
      </w:tcPr>
    </w:tblStylePr>
    <w:tblStylePr w:type="lastRow">
      <w:rPr>
        <w:b/>
        <w:bCs/>
        <w:color w:val="000000"/>
      </w:rPr>
      <w:tblPr/>
      <w:tcPr>
        <w:tcBorders>
          <w:top w:val="single" w:sz="8" w:space="0" w:color="000000" w:themeColor="accent5"/>
          <w:bottom w:val="single" w:sz="8" w:space="0" w:color="000000" w:themeColor="accent5"/>
        </w:tcBorders>
      </w:tcPr>
    </w:tblStylePr>
    <w:tblStylePr w:type="firstCol">
      <w:rPr>
        <w:b/>
        <w:bCs/>
      </w:rPr>
    </w:tblStylePr>
    <w:tblStylePr w:type="lastCol">
      <w:rPr>
        <w:b/>
        <w:bCs/>
      </w:rPr>
      <w:tblPr/>
      <w:tcPr>
        <w:tcBorders>
          <w:top w:val="single" w:sz="8" w:space="0" w:color="000000" w:themeColor="accent5"/>
          <w:bottom w:val="single" w:sz="8" w:space="0" w:color="000000" w:themeColor="accent5"/>
        </w:tcBorders>
      </w:tcPr>
    </w:tblStylePr>
    <w:tblStylePr w:type="band1Vert">
      <w:tblPr/>
      <w:tcPr>
        <w:shd w:val="clear" w:color="auto" w:fill="EFEFEF"/>
      </w:tcPr>
    </w:tblStylePr>
    <w:tblStylePr w:type="band1Horz">
      <w:tblPr/>
      <w:tcPr>
        <w:shd w:val="clear" w:color="auto" w:fill="EFEFE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accent6"/>
        <w:bottom w:val="single" w:sz="8" w:space="0" w:color="000000"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accent6"/>
        </w:tcBorders>
      </w:tcPr>
    </w:tblStylePr>
    <w:tblStylePr w:type="lastRow">
      <w:rPr>
        <w:b/>
        <w:bCs/>
        <w:color w:val="000000"/>
      </w:rPr>
      <w:tblPr/>
      <w:tcPr>
        <w:tcBorders>
          <w:top w:val="single" w:sz="8" w:space="0" w:color="000000" w:themeColor="accent6"/>
          <w:bottom w:val="single" w:sz="8" w:space="0" w:color="000000" w:themeColor="accent6"/>
        </w:tcBorders>
      </w:tcPr>
    </w:tblStylePr>
    <w:tblStylePr w:type="firstCol">
      <w:rPr>
        <w:b/>
        <w:bCs/>
      </w:rPr>
    </w:tblStylePr>
    <w:tblStylePr w:type="lastCol">
      <w:rPr>
        <w:b/>
        <w:bCs/>
      </w:rPr>
      <w:tblPr/>
      <w:tcPr>
        <w:tcBorders>
          <w:top w:val="single" w:sz="8" w:space="0" w:color="000000" w:themeColor="accent6"/>
          <w:bottom w:val="single" w:sz="8" w:space="0" w:color="000000" w:themeColor="accent6"/>
        </w:tcBorders>
      </w:tcPr>
    </w:tblStylePr>
    <w:tblStylePr w:type="band1Vert">
      <w:tblPr/>
      <w:tcPr>
        <w:shd w:val="clear" w:color="auto" w:fill="EFEFEF"/>
      </w:tcPr>
    </w:tblStylePr>
    <w:tblStylePr w:type="band1Horz">
      <w:tblPr/>
      <w:tcPr>
        <w:shd w:val="clear" w:color="auto" w:fill="EFEFE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tblPr/>
      <w:tcPr>
        <w:tcBorders>
          <w:top w:val="single" w:sz="8" w:space="0" w:color="000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2"/>
          <w:insideH w:val="nil"/>
          <w:insideV w:val="nil"/>
        </w:tcBorders>
        <w:shd w:val="clear" w:color="auto" w:fill="FFFFFF" w:themeFill="background1"/>
      </w:tcPr>
    </w:tblStylePr>
    <w:tblStylePr w:type="lastCol">
      <w:tblPr/>
      <w:tcPr>
        <w:tcBorders>
          <w:top w:val="nil"/>
          <w:left w:val="single" w:sz="8" w:space="0" w:color="00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tblPr/>
      <w:tcPr>
        <w:tcBorders>
          <w:top w:val="single" w:sz="8" w:space="0" w:color="00000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3"/>
          <w:insideH w:val="nil"/>
          <w:insideV w:val="nil"/>
        </w:tcBorders>
        <w:shd w:val="clear" w:color="auto" w:fill="FFFFFF" w:themeFill="background1"/>
      </w:tcPr>
    </w:tblStylePr>
    <w:tblStylePr w:type="lastCol">
      <w:tblPr/>
      <w:tcPr>
        <w:tcBorders>
          <w:top w:val="nil"/>
          <w:left w:val="single" w:sz="8" w:space="0" w:color="0000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tblPr/>
      <w:tcPr>
        <w:tcBorders>
          <w:top w:val="single" w:sz="8" w:space="0" w:color="000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4"/>
          <w:insideH w:val="nil"/>
          <w:insideV w:val="nil"/>
        </w:tcBorders>
        <w:shd w:val="clear" w:color="auto" w:fill="FFFFFF" w:themeFill="background1"/>
      </w:tcPr>
    </w:tblStylePr>
    <w:tblStylePr w:type="lastCol">
      <w:tblPr/>
      <w:tcPr>
        <w:tcBorders>
          <w:top w:val="nil"/>
          <w:left w:val="single" w:sz="8" w:space="0" w:color="000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tblPr/>
      <w:tcPr>
        <w:tcBorders>
          <w:top w:val="single" w:sz="8" w:space="0" w:color="0000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5"/>
          <w:insideH w:val="nil"/>
          <w:insideV w:val="nil"/>
        </w:tcBorders>
        <w:shd w:val="clear" w:color="auto" w:fill="FFFFFF" w:themeFill="background1"/>
      </w:tcPr>
    </w:tblStylePr>
    <w:tblStylePr w:type="lastCol">
      <w:tblPr/>
      <w:tcPr>
        <w:tcBorders>
          <w:top w:val="nil"/>
          <w:left w:val="single" w:sz="8" w:space="0" w:color="0000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tblPr/>
      <w:tcPr>
        <w:tcBorders>
          <w:top w:val="single" w:sz="8" w:space="0" w:color="0000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6"/>
          <w:insideH w:val="nil"/>
          <w:insideV w:val="nil"/>
        </w:tcBorders>
        <w:shd w:val="clear" w:color="auto" w:fill="FFFFFF" w:themeFill="background1"/>
      </w:tcPr>
    </w:tblStylePr>
    <w:tblStylePr w:type="lastCol">
      <w:tblPr/>
      <w:tcPr>
        <w:tcBorders>
          <w:top w:val="nil"/>
          <w:left w:val="single" w:sz="8" w:space="0" w:color="0000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EFEF"/>
      </w:tcPr>
    </w:tblStylePr>
    <w:tblStylePr w:type="band1Horz">
      <w:tblPr/>
      <w:tcPr>
        <w:tcBorders>
          <w:top w:val="nil"/>
          <w:bottom w:val="nil"/>
          <w:insideH w:val="nil"/>
          <w:insideV w:val="nil"/>
        </w:tcBorders>
        <w:shd w:val="clear" w:color="auto" w:fill="EFEFE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themeColor="text1" w:themeTint="BF"/>
        <w:left w:val="single" w:sz="8" w:space="0" w:color="000000" w:themeColor="text1" w:themeTint="BF"/>
        <w:bottom w:val="single" w:sz="8" w:space="0" w:color="000000" w:themeColor="text1" w:themeTint="BF"/>
        <w:right w:val="single" w:sz="8" w:space="0" w:color="000000" w:themeColor="text1" w:themeTint="BF"/>
        <w:insideH w:val="single" w:sz="8" w:space="0" w:color="000000" w:themeColor="text1" w:themeTint="BF"/>
        <w:insideV w:val="single" w:sz="8" w:space="0" w:color="000000" w:themeColor="text1"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tex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themeColor="accent1" w:themeTint="BF"/>
        <w:left w:val="single" w:sz="8" w:space="0" w:color="000000" w:themeColor="accent1" w:themeTint="BF"/>
        <w:bottom w:val="single" w:sz="8" w:space="0" w:color="000000" w:themeColor="accent1" w:themeTint="BF"/>
        <w:right w:val="single" w:sz="8" w:space="0" w:color="000000" w:themeColor="accent1" w:themeTint="BF"/>
        <w:insideH w:val="single" w:sz="8" w:space="0" w:color="000000" w:themeColor="accent1" w:themeTint="BF"/>
        <w:insideV w:val="single" w:sz="8" w:space="0" w:color="000000" w:themeColor="accent1"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1"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themeColor="accent2" w:themeTint="BF"/>
        <w:left w:val="single" w:sz="8" w:space="0" w:color="000000" w:themeColor="accent2" w:themeTint="BF"/>
        <w:bottom w:val="single" w:sz="8" w:space="0" w:color="000000" w:themeColor="accent2" w:themeTint="BF"/>
        <w:right w:val="single" w:sz="8" w:space="0" w:color="000000" w:themeColor="accent2" w:themeTint="BF"/>
        <w:insideH w:val="single" w:sz="8" w:space="0" w:color="000000" w:themeColor="accent2" w:themeTint="BF"/>
        <w:insideV w:val="single" w:sz="8" w:space="0" w:color="000000" w:themeColor="accent2"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2"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themeColor="accent3" w:themeTint="BF"/>
        <w:left w:val="single" w:sz="8" w:space="0" w:color="000000" w:themeColor="accent3" w:themeTint="BF"/>
        <w:bottom w:val="single" w:sz="8" w:space="0" w:color="000000" w:themeColor="accent3" w:themeTint="BF"/>
        <w:right w:val="single" w:sz="8" w:space="0" w:color="000000" w:themeColor="accent3" w:themeTint="BF"/>
        <w:insideH w:val="single" w:sz="8" w:space="0" w:color="000000" w:themeColor="accent3" w:themeTint="BF"/>
        <w:insideV w:val="single" w:sz="8" w:space="0" w:color="000000" w:themeColor="accent3"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3"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themeColor="accent4" w:themeTint="BF"/>
        <w:left w:val="single" w:sz="8" w:space="0" w:color="000000" w:themeColor="accent4" w:themeTint="BF"/>
        <w:bottom w:val="single" w:sz="8" w:space="0" w:color="000000" w:themeColor="accent4" w:themeTint="BF"/>
        <w:right w:val="single" w:sz="8" w:space="0" w:color="000000" w:themeColor="accent4" w:themeTint="BF"/>
        <w:insideH w:val="single" w:sz="8" w:space="0" w:color="000000" w:themeColor="accent4" w:themeTint="BF"/>
        <w:insideV w:val="single" w:sz="8" w:space="0" w:color="000000" w:themeColor="accent4"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4"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themeColor="accent5" w:themeTint="BF"/>
        <w:left w:val="single" w:sz="8" w:space="0" w:color="000000" w:themeColor="accent5" w:themeTint="BF"/>
        <w:bottom w:val="single" w:sz="8" w:space="0" w:color="000000" w:themeColor="accent5" w:themeTint="BF"/>
        <w:right w:val="single" w:sz="8" w:space="0" w:color="000000" w:themeColor="accent5" w:themeTint="BF"/>
        <w:insideH w:val="single" w:sz="8" w:space="0" w:color="000000" w:themeColor="accent5" w:themeTint="BF"/>
        <w:insideV w:val="single" w:sz="8" w:space="0" w:color="000000" w:themeColor="accent5"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5"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themeColor="accent6" w:themeTint="BF"/>
        <w:left w:val="single" w:sz="8" w:space="0" w:color="000000" w:themeColor="accent6" w:themeTint="BF"/>
        <w:bottom w:val="single" w:sz="8" w:space="0" w:color="000000" w:themeColor="accent6" w:themeTint="BF"/>
        <w:right w:val="single" w:sz="8" w:space="0" w:color="000000" w:themeColor="accent6" w:themeTint="BF"/>
        <w:insideH w:val="single" w:sz="8" w:space="0" w:color="000000" w:themeColor="accent6" w:themeTint="BF"/>
        <w:insideV w:val="single" w:sz="8" w:space="0" w:color="000000" w:themeColor="accent6" w:themeTint="BF"/>
      </w:tblBorders>
      <w:tblCellMar>
        <w:top w:w="0" w:type="dxa"/>
        <w:left w:w="108" w:type="dxa"/>
        <w:bottom w:w="0" w:type="dxa"/>
        <w:right w:w="108" w:type="dxa"/>
      </w:tblCellMar>
    </w:tblPr>
    <w:tcPr>
      <w:shd w:val="clear" w:color="auto" w:fill="EFEFEF"/>
    </w:tcPr>
    <w:tblStylePr w:type="firstRow">
      <w:rPr>
        <w:b/>
        <w:bCs/>
      </w:rPr>
    </w:tblStylePr>
    <w:tblStylePr w:type="lastRow">
      <w:rPr>
        <w:b/>
        <w:bCs/>
      </w:rPr>
      <w:tblPr/>
      <w:tcPr>
        <w:tcBorders>
          <w:top w:val="single" w:sz="18" w:space="0" w:color="000000" w:themeColor="accent6" w:themeTint="BF"/>
        </w:tcBorders>
      </w:tcPr>
    </w:tblStylePr>
    <w:tblStylePr w:type="firstCol">
      <w:rPr>
        <w:b/>
        <w:bCs/>
      </w:rPr>
    </w:tblStylePr>
    <w:tblStylePr w:type="lastCol">
      <w:rPr>
        <w:b/>
        <w:bCs/>
      </w:rPr>
    </w:tblStylePr>
    <w:tblStylePr w:type="band1Vert">
      <w:tblPr/>
      <w:tcPr>
        <w:shd w:val="clear" w:color="auto" w:fill="EFEFEF"/>
      </w:tcPr>
    </w:tblStylePr>
    <w:tblStylePr w:type="band1Horz">
      <w:tblPr/>
      <w:tcPr>
        <w:shd w:val="clear" w:color="auto" w:fill="EFEFE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text1"/>
          <w:insideV w:val="single" w:sz="6" w:space="0" w:color="000000" w:themeColor="text1"/>
        </w:tcBorders>
        <w:shd w:val="clear" w:color="auto" w:fill="EFEFE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1"/>
          <w:insideV w:val="single" w:sz="6" w:space="0" w:color="000000" w:themeColor="accent1"/>
        </w:tcBorders>
        <w:shd w:val="clear" w:color="auto" w:fill="EFEFE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2"/>
        <w:left w:val="single" w:sz="8" w:space="0" w:color="000000" w:themeColor="accent2"/>
        <w:bottom w:val="single" w:sz="8" w:space="0" w:color="000000" w:themeColor="accent2"/>
        <w:right w:val="single" w:sz="8" w:space="0" w:color="000000" w:themeColor="accent2"/>
        <w:insideH w:val="single" w:sz="8" w:space="0" w:color="000000" w:themeColor="accent2"/>
        <w:insideV w:val="single" w:sz="8" w:space="0" w:color="000000" w:themeColor="accent2"/>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2"/>
          <w:insideV w:val="single" w:sz="6" w:space="0" w:color="000000" w:themeColor="accent2"/>
        </w:tcBorders>
        <w:shd w:val="clear" w:color="auto" w:fill="EFEFE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3"/>
        <w:left w:val="single" w:sz="8" w:space="0" w:color="000000" w:themeColor="accent3"/>
        <w:bottom w:val="single" w:sz="8" w:space="0" w:color="000000" w:themeColor="accent3"/>
        <w:right w:val="single" w:sz="8" w:space="0" w:color="000000" w:themeColor="accent3"/>
        <w:insideH w:val="single" w:sz="8" w:space="0" w:color="000000" w:themeColor="accent3"/>
        <w:insideV w:val="single" w:sz="8" w:space="0" w:color="000000" w:themeColor="accent3"/>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3"/>
          <w:insideV w:val="single" w:sz="6" w:space="0" w:color="000000" w:themeColor="accent3"/>
        </w:tcBorders>
        <w:shd w:val="clear" w:color="auto" w:fill="EFEFE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4"/>
        <w:left w:val="single" w:sz="8" w:space="0" w:color="000000" w:themeColor="accent4"/>
        <w:bottom w:val="single" w:sz="8" w:space="0" w:color="000000" w:themeColor="accent4"/>
        <w:right w:val="single" w:sz="8" w:space="0" w:color="000000" w:themeColor="accent4"/>
        <w:insideH w:val="single" w:sz="8" w:space="0" w:color="000000" w:themeColor="accent4"/>
        <w:insideV w:val="single" w:sz="8" w:space="0" w:color="000000" w:themeColor="accent4"/>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4"/>
          <w:insideV w:val="single" w:sz="6" w:space="0" w:color="000000" w:themeColor="accent4"/>
        </w:tcBorders>
        <w:shd w:val="clear" w:color="auto" w:fill="EFEFE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5"/>
        <w:left w:val="single" w:sz="8" w:space="0" w:color="000000" w:themeColor="accent5"/>
        <w:bottom w:val="single" w:sz="8" w:space="0" w:color="000000" w:themeColor="accent5"/>
        <w:right w:val="single" w:sz="8" w:space="0" w:color="000000" w:themeColor="accent5"/>
        <w:insideH w:val="single" w:sz="8" w:space="0" w:color="000000" w:themeColor="accent5"/>
        <w:insideV w:val="single" w:sz="8" w:space="0" w:color="000000" w:themeColor="accent5"/>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5"/>
          <w:insideV w:val="single" w:sz="6" w:space="0" w:color="000000" w:themeColor="accent5"/>
        </w:tcBorders>
        <w:shd w:val="clear" w:color="auto" w:fill="EFEFE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accent6"/>
        <w:left w:val="single" w:sz="8" w:space="0" w:color="000000" w:themeColor="accent6"/>
        <w:bottom w:val="single" w:sz="8" w:space="0" w:color="000000" w:themeColor="accent6"/>
        <w:right w:val="single" w:sz="8" w:space="0" w:color="000000" w:themeColor="accent6"/>
        <w:insideH w:val="single" w:sz="8" w:space="0" w:color="000000" w:themeColor="accent6"/>
        <w:insideV w:val="single" w:sz="8" w:space="0" w:color="000000" w:themeColor="accent6"/>
      </w:tblBorders>
      <w:tblCellMar>
        <w:top w:w="0" w:type="dxa"/>
        <w:left w:w="108" w:type="dxa"/>
        <w:bottom w:w="0" w:type="dxa"/>
        <w:right w:w="108" w:type="dxa"/>
      </w:tblCellMar>
    </w:tblPr>
    <w:tcPr>
      <w:shd w:val="clear" w:color="auto" w:fill="EFEFEF"/>
    </w:tcPr>
    <w:tblStylePr w:type="firstRow">
      <w:rPr>
        <w:b/>
        <w:bCs/>
        <w:color w:val="000000"/>
      </w:rPr>
      <w:tblPr/>
      <w:tcPr>
        <w:shd w:val="clear" w:color="auto" w:fill="EFEFE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tcBorders>
          <w:insideH w:val="single" w:sz="6" w:space="0" w:color="000000" w:themeColor="accent6"/>
          <w:insideV w:val="single" w:sz="6" w:space="0" w:color="000000" w:themeColor="accent6"/>
        </w:tcBorders>
        <w:shd w:val="clear" w:color="auto" w:fill="EFEFE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000000" w:themeFill="text1"/>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000000" w:themeFill="text1"/>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00000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CellMar>
        <w:top w:w="0" w:type="dxa"/>
        <w:left w:w="108" w:type="dxa"/>
        <w:bottom w:w="0" w:type="dxa"/>
        <w:right w:w="108" w:type="dxa"/>
      </w:tblCellMar>
    </w:tblPr>
    <w:tcPr>
      <w:shd w:val="clear" w:color="auto" w:fill="EFEFEF"/>
    </w:tcPr>
    <w:tblStylePr w:type="firstRow">
      <w:rPr>
        <w:b/>
        <w:bCs/>
        <w:i w:val="0"/>
        <w:iCs w:val="0"/>
        <w:color w:val="000000"/>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lastRow">
      <w:rPr>
        <w:b/>
        <w:bCs/>
        <w:i w:val="0"/>
        <w:iCs w:val="0"/>
        <w:color w:val="000000"/>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EFEFEF"/>
      </w:tcPr>
    </w:tblStylePr>
    <w:tblStylePr w:type="firstCol">
      <w:rPr>
        <w:b/>
        <w:bCs/>
        <w:i w:val="0"/>
        <w:iCs w:val="0"/>
        <w:color w:val="000000"/>
      </w:rPr>
      <w:tblPr/>
      <w:tcPr>
        <w:tcBorders>
          <w:left w:val="single" w:sz="8" w:space="0" w:color="000000" w:themeColor="background1"/>
          <w:right w:val="single" w:sz="24" w:space="0" w:color="000000" w:themeColor="background1"/>
          <w:insideH w:val="nil"/>
          <w:insideV w:val="nil"/>
        </w:tcBorders>
        <w:shd w:val="clear" w:color="auto" w:fill="EFEFEF"/>
      </w:tcPr>
    </w:tblStylePr>
    <w:tblStylePr w:type="lastCol">
      <w:rPr>
        <w:b/>
        <w:bCs/>
        <w:i w:val="0"/>
        <w:iCs w:val="0"/>
        <w:color w:val="000000"/>
      </w:rPr>
      <w:tblPr/>
      <w:tcPr>
        <w:tcBorders>
          <w:top w:val="nil"/>
          <w:left w:val="single" w:sz="24" w:space="0" w:color="000000" w:themeColor="background1"/>
          <w:bottom w:val="nil"/>
          <w:right w:val="nil"/>
          <w:insideH w:val="nil"/>
          <w:insideV w:val="nil"/>
        </w:tcBorders>
        <w:shd w:val="clear" w:color="auto" w:fill="EFEFEF"/>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FEFE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FEFE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000000"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18" w:space="0" w:color="000000" w:themeColor="background1"/>
          <w:right w:val="nil"/>
          <w:insideH w:val="nil"/>
          <w:insideV w:val="nil"/>
        </w:tcBorders>
        <w:shd w:val="clear" w:color="auto" w:fill="000000" w:themeFill="text1"/>
      </w:tcPr>
    </w:tblStylePr>
    <w:tblStylePr w:type="lastRow">
      <w:tblPr/>
      <w:tcPr>
        <w:tcBorders>
          <w:top w:val="single" w:sz="18" w:space="0" w:color="000000" w:themeColor="background1"/>
          <w:left w:val="nil"/>
          <w:bottom w:val="nil"/>
          <w:right w:val="nil"/>
          <w:insideH w:val="nil"/>
          <w:insideV w:val="nil"/>
        </w:tcBorders>
        <w:shd w:val="clear" w:color="auto" w:fill="EFEFEF"/>
      </w:tcPr>
    </w:tblStylePr>
    <w:tblStylePr w:type="firstCol">
      <w:tblPr/>
      <w:tcPr>
        <w:tcBorders>
          <w:top w:val="nil"/>
          <w:left w:val="nil"/>
          <w:bottom w:val="nil"/>
          <w:right w:val="single" w:sz="18" w:space="0" w:color="000000" w:themeColor="background1"/>
          <w:insideH w:val="nil"/>
          <w:insideV w:val="nil"/>
        </w:tcBorders>
        <w:shd w:val="clear" w:color="auto" w:fill="EFEFEF"/>
      </w:tcPr>
    </w:tblStylePr>
    <w:tblStylePr w:type="lastCol">
      <w:tblPr/>
      <w:tcPr>
        <w:tcBorders>
          <w:top w:val="nil"/>
          <w:left w:val="single" w:sz="18" w:space="0" w:color="000000" w:themeColor="background1"/>
          <w:bottom w:val="nil"/>
          <w:right w:val="nil"/>
          <w:insideH w:val="nil"/>
          <w:insideV w:val="nil"/>
        </w:tcBorders>
        <w:shd w:val="clear" w:color="auto" w:fill="EFEFEF"/>
      </w:tcPr>
    </w:tblStylePr>
    <w:tblStylePr w:type="band1Vert">
      <w:tblPr/>
      <w:tcPr>
        <w:tcBorders>
          <w:top w:val="nil"/>
          <w:left w:val="nil"/>
          <w:bottom w:val="nil"/>
          <w:right w:val="nil"/>
          <w:insideH w:val="nil"/>
          <w:insideV w:val="nil"/>
        </w:tcBorders>
        <w:shd w:val="clear" w:color="auto" w:fill="EFEFEF"/>
      </w:tcPr>
    </w:tblStylePr>
    <w:tblStylePr w:type="band1Horz">
      <w:tblPr/>
      <w:tcPr>
        <w:tcBorders>
          <w:top w:val="nil"/>
          <w:left w:val="nil"/>
          <w:bottom w:val="nil"/>
          <w:right w:val="nil"/>
          <w:insideH w:val="nil"/>
          <w:insideV w:val="nil"/>
        </w:tcBorders>
        <w:shd w:val="clear" w:color="auto" w:fill="EFEFE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text1"/>
        <w:bottom w:val="single" w:sz="4" w:space="0" w:color="000000" w:themeColor="text1"/>
        <w:right w:val="single" w:sz="4" w:space="0" w:color="000000" w:themeColor="text1"/>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1"/>
        <w:bottom w:val="single" w:sz="4" w:space="0" w:color="000000" w:themeColor="accent1"/>
        <w:right w:val="single" w:sz="4" w:space="0" w:color="000000" w:themeColor="accent1"/>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1"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2"/>
        <w:left w:val="single" w:sz="4" w:space="0" w:color="000000" w:themeColor="accent2"/>
        <w:bottom w:val="single" w:sz="4" w:space="0" w:color="000000" w:themeColor="accent2"/>
        <w:right w:val="single" w:sz="4" w:space="0" w:color="000000" w:themeColor="accent2"/>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2"/>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2"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4"/>
        <w:left w:val="single" w:sz="4" w:space="0" w:color="000000" w:themeColor="accent3"/>
        <w:bottom w:val="single" w:sz="4" w:space="0" w:color="000000" w:themeColor="accent3"/>
        <w:right w:val="single" w:sz="4" w:space="0" w:color="000000" w:themeColor="accent3"/>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4"/>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3"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3"/>
        <w:left w:val="single" w:sz="4" w:space="0" w:color="000000" w:themeColor="accent4"/>
        <w:bottom w:val="single" w:sz="4" w:space="0" w:color="000000" w:themeColor="accent4"/>
        <w:right w:val="single" w:sz="4" w:space="0" w:color="000000" w:themeColor="accent4"/>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3"/>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4"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6"/>
        <w:left w:val="single" w:sz="4" w:space="0" w:color="000000" w:themeColor="accent5"/>
        <w:bottom w:val="single" w:sz="4" w:space="0" w:color="000000" w:themeColor="accent5"/>
        <w:right w:val="single" w:sz="4" w:space="0" w:color="000000" w:themeColor="accent5"/>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6"/>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5"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themeColor="accent5"/>
        <w:left w:val="single" w:sz="4" w:space="0" w:color="000000" w:themeColor="accent6"/>
        <w:bottom w:val="single" w:sz="4" w:space="0" w:color="000000" w:themeColor="accent6"/>
        <w:right w:val="single" w:sz="4" w:space="0" w:color="000000" w:themeColor="accent6"/>
        <w:insideH w:val="single" w:sz="4" w:space="0" w:color="000000" w:themeColor="background1"/>
        <w:insideV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tcBorders>
          <w:top w:val="nil"/>
          <w:left w:val="nil"/>
          <w:bottom w:val="single" w:sz="24" w:space="0" w:color="000000" w:themeColor="accent5"/>
          <w:right w:val="nil"/>
          <w:insideH w:val="nil"/>
          <w:insideV w:val="nil"/>
        </w:tcBorders>
        <w:shd w:val="clear" w:color="auto" w:fill="FFFFFF" w:themeFill="background1"/>
      </w:tcPr>
    </w:tblStylePr>
    <w:tblStylePr w:type="lastRow">
      <w:rPr>
        <w:b/>
        <w:bCs/>
        <w:color w:val="000000"/>
      </w:rPr>
      <w:tblPr/>
      <w:tcPr>
        <w:tcBorders>
          <w:top w:val="single" w:sz="6" w:space="0" w:color="000000" w:themeColor="background1"/>
        </w:tcBorders>
        <w:shd w:val="clear" w:color="auto" w:fill="EFEFEF"/>
      </w:tcPr>
    </w:tblStylePr>
    <w:tblStylePr w:type="firstCol">
      <w:rPr>
        <w:color w:val="000000"/>
      </w:rPr>
      <w:tblPr/>
      <w:tcPr>
        <w:tcBorders>
          <w:top w:val="nil"/>
          <w:left w:val="nil"/>
          <w:bottom w:val="nil"/>
          <w:right w:val="nil"/>
          <w:insideH w:val="single" w:sz="4" w:space="0" w:color="000000" w:themeColor="accent6" w:themeShade="99"/>
          <w:insideV w:val="nil"/>
        </w:tcBorders>
        <w:shd w:val="clear" w:color="auto" w:fill="EFEFEF"/>
      </w:tcPr>
    </w:tblStylePr>
    <w:tblStylePr w:type="lastCol">
      <w:rPr>
        <w:color w:val="000000"/>
      </w:rPr>
      <w:tblPr/>
      <w:tcPr>
        <w:tcBorders>
          <w:top w:val="nil"/>
          <w:left w:val="nil"/>
          <w:bottom w:val="nil"/>
          <w:right w:val="nil"/>
          <w:insideH w:val="nil"/>
          <w:insideV w:val="nil"/>
        </w:tcBorders>
        <w:shd w:val="clear" w:color="auto" w:fill="EFEFEF"/>
      </w:tcPr>
    </w:tblStylePr>
    <w:tblStylePr w:type="band1Vert">
      <w:tblPr/>
      <w:tcPr>
        <w:shd w:val="clear" w:color="auto" w:fill="EFEFEF"/>
      </w:tcPr>
    </w:tblStylePr>
    <w:tblStylePr w:type="band1Horz">
      <w:tblPr/>
      <w:tcPr>
        <w:shd w:val="clear" w:color="auto" w:fill="EFEFE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FEFEF"/>
    </w:tcPr>
    <w:tblStylePr w:type="firstRow">
      <w:rPr>
        <w:b/>
        <w:bCs/>
        <w:color w:val="000000"/>
      </w:rPr>
      <w:tblPr/>
      <w:tcPr>
        <w:tcBorders>
          <w:bottom w:val="single" w:sz="12" w:space="0" w:color="000000" w:themeColor="background1"/>
        </w:tcBorders>
        <w:shd w:val="clear" w:color="auto" w:fill="EFEFEF"/>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EFEF"/>
      </w:tcPr>
    </w:tblStylePr>
    <w:tblStylePr w:type="band1Horz">
      <w:tblPr/>
      <w:tcPr>
        <w:shd w:val="clear" w:color="auto" w:fill="EFEFE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EFEFEF"/>
      </w:tcPr>
    </w:tblStylePr>
    <w:tblStylePr w:type="band1Horz">
      <w:tblPr/>
      <w:tcPr>
        <w:shd w:val="clear" w:color="auto" w:fill="EFEFE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000000" w:themeColor="background1"/>
      </w:tblBorders>
      <w:tblCellMar>
        <w:top w:w="0" w:type="dxa"/>
        <w:left w:w="108" w:type="dxa"/>
        <w:bottom w:w="0" w:type="dxa"/>
        <w:right w:w="108" w:type="dxa"/>
      </w:tblCellMar>
    </w:tblPr>
    <w:tcPr>
      <w:shd w:val="clear" w:color="auto" w:fill="EFEFEF"/>
    </w:tcPr>
    <w:tblStylePr w:type="firstRow">
      <w:rPr>
        <w:b/>
        <w:bCs/>
      </w:rPr>
      <w:tblPr/>
      <w:tcPr>
        <w:shd w:val="clear" w:color="auto" w:fill="EFEFEF"/>
      </w:tcPr>
    </w:tblStylePr>
    <w:tblStylePr w:type="lastRow">
      <w:rPr>
        <w:b/>
        <w:bCs/>
        <w:color w:val="000000"/>
      </w:rPr>
      <w:tblPr/>
      <w:tcPr>
        <w:shd w:val="clear" w:color="auto" w:fill="EFEFEF"/>
      </w:tcPr>
    </w:tblStylePr>
    <w:tblStylePr w:type="firstCol">
      <w:rPr>
        <w:color w:val="000000"/>
      </w:rPr>
      <w:tblPr/>
      <w:tcPr>
        <w:shd w:val="clear" w:color="auto" w:fill="EFEFEF"/>
      </w:tcPr>
    </w:tblStylePr>
    <w:tblStylePr w:type="lastCol">
      <w:rPr>
        <w:color w:val="000000"/>
      </w:rPr>
      <w:tblPr/>
      <w:tcPr>
        <w:shd w:val="clear" w:color="auto" w:fill="EFEFEF"/>
      </w:tcPr>
    </w:tblStylePr>
    <w:tblStylePr w:type="band1Vert">
      <w:tblPr/>
      <w:tcPr>
        <w:shd w:val="clear" w:color="auto" w:fill="EFEFEF"/>
      </w:tcPr>
    </w:tblStylePr>
    <w:tblStylePr w:type="band1Horz">
      <w:tblPr/>
      <w:tcPr>
        <w:shd w:val="clear" w:color="auto" w:fill="EFEFE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Pneumonia Model Training Details</dc:title>
  <dc:subject>Three-class chest X-ray data preparation, augmentation, training, and results</dc:subject>
  <dc:creator>Pneumonia Research Pipeline</dc:creator>
  <cp:keywords>pneumonia, chest X-ray, DenseNet, ResNet, validation, multiclass</cp:keywords>
  <dc:description>generated by python-docx</dc:description>
  <cp:lastModifiedBy/>
  <cp:revision>1</cp:revision>
  <dcterms:created xsi:type="dcterms:W3CDTF">2013-12-23T23:15:00Z</dcterms:created>
  <dcterms:modified xsi:type="dcterms:W3CDTF">2013-12-23T23:15:00Z</dcterms:modified>
  <cp:category/>
</cp:coreProperties>
</file>