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QA FastExpress</w:t>
      </w:r>
    </w:p>
    <w:p>
      <w:pPr>
        <w:jc w:val="center"/>
      </w:pPr>
      <w:r>
        <w:rPr>
          <w:i/>
        </w:rPr>
        <w:t>Cotización de envíos y descuentos</w:t>
      </w:r>
    </w:p>
    <w:p>
      <w:pPr>
        <w:jc w:val="center"/>
      </w:pPr>
      <w:r>
        <w:rPr>
          <w:sz w:val="18"/>
        </w:rPr>
        <w:t>Curso: Calidad de Software</w:t>
      </w:r>
    </w:p>
    <w:p>
      <w:pPr>
        <w:jc w:val="center"/>
      </w:pPr>
      <w:r>
        <w:rPr>
          <w:sz w:val="18"/>
        </w:rPr>
        <w:t>Equipo: Adolfo Andres Cera Urueta, Juan Esteban Ordoñez Tobon, Samuel David Morales Rios</w:t>
      </w:r>
    </w:p>
    <w:p>
      <w:pPr>
        <w:jc w:val="center"/>
      </w:pPr>
      <w:r>
        <w:rPr>
          <w:sz w:val="18"/>
        </w:rPr>
        <w:t>Repositorio: https://github.com/Geriberto123/FastExpress.git</w:t>
      </w:r>
    </w:p>
    <w:p/>
    <w:p>
      <w:r>
        <w:rPr>
          <w:b/>
        </w:rPr>
        <w:t xml:space="preserve">Resultado ejecutivo. </w:t>
      </w:r>
      <w:r>
        <w:t>La funcionalidad de cotización quedó verificada con evidencia automatizada: 177 pruebas de backend, 3 pruebas unitarias de validadores y 11 pruebas de interfaz superaron la ejecución final. Se corrigieron rutas de recursos del frontend y se añadieron pruebas de caja negra, interfaz real y rendimiento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1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41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177 de 177 pruebas correctas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docs/evidencias/backend-test.txt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Validadores frontend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3 de 3 correctas</w:t>
            </w:r>
          </w:p>
        </w:tc>
        <w:tc>
          <w:tcPr>
            <w:tcW w:type="dxa" w:w="417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docs/evidencias/frontend-unit.txt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Interfaz Playwright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11 de 11 correctas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docs/evidencias/frontend-ui.txt</w:t>
            </w:r>
          </w:p>
        </w:tc>
      </w:tr>
      <w:tr>
        <w:tc>
          <w:tcPr>
            <w:tcW w:type="dxa" w:w="19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Cobertura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98.38 % líneas  |  96.96 % ramas</w:t>
            </w:r>
          </w:p>
        </w:tc>
        <w:tc>
          <w:tcPr>
            <w:tcW w:type="dxa" w:w="417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docs/evidencias/coverage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Carga local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50 de 50 correctas  |  p95 34.15 ms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docs/evidencias/performance.txt</w:t>
            </w:r>
          </w:p>
        </w:tc>
      </w:tr>
    </w:tbl>
    <w:p/>
    <w:p>
      <w:pPr>
        <w:pStyle w:val="Heading1"/>
      </w:pPr>
      <w:r>
        <w:rPr>
          <w:color w:val="000000"/>
        </w:rPr>
        <w:t>1 Alcance y criterios de aceptación</w:t>
      </w:r>
    </w:p>
    <w:p>
      <w:r>
        <w:t>El trabajo cubrió las reglas BR-01 a BR-04: tarifa base de $5.00, tarifa por peso por tramo, descuento por tipo de cliente y recargo EXPRESS sobre el subtotal antes del descuento. También se revisaron validaciones, mensajes, API REST, visualización de la interfaz y respuesta bajo concurrencia.</w:t>
      </w:r>
    </w:p>
    <w:p>
      <w:pPr>
        <w:pStyle w:val="ListBullet"/>
      </w:pPr>
      <w:r>
        <w:t>Criterio de cobertura: mínimo 85 % en líneas y ramas.</w:t>
      </w:r>
    </w:p>
    <w:p>
      <w:pPr>
        <w:pStyle w:val="ListBullet"/>
      </w:pPr>
      <w:r>
        <w:t>Criterio local de rendimiento: p95 menor de 500 ms y cero respuestas 5xx.</w:t>
      </w:r>
    </w:p>
    <w:p>
      <w:pPr>
        <w:pStyle w:val="ListBullet"/>
      </w:pPr>
      <w:r>
        <w:t>La especificación, no la implementación, se usó como oráculo de resultados.</w:t>
      </w:r>
    </w:p>
    <w:p>
      <w:pPr>
        <w:pStyle w:val="Heading1"/>
      </w:pPr>
      <w:r>
        <w:rPr>
          <w:color w:val="000000"/>
        </w:rPr>
        <w:t>2 Hallazgos y correcciones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331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Acción tomada</w:t>
            </w:r>
          </w:p>
        </w:tc>
        <w:tc>
          <w:tcPr>
            <w:tcW w:type="dxa" w:w="165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BUG-001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El HTML referenciaba css/js mientras los directorios versionados son Css/Js. Puede fallar en servidores sensibles a mayúsculas.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Se corrigieron las rutas de hoja de estilo y scripts.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Corregido; no hay evidencia histórica del fallo.</w:t>
            </w:r>
          </w:p>
        </w:tc>
      </w:tr>
      <w:tr>
        <w:tc>
          <w:tcPr>
            <w:tcW w:type="dxa" w:w="100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OBS-001</w:t>
            </w:r>
          </w:p>
        </w:tc>
        <w:tc>
          <w:tcPr>
            <w:tcW w:type="dxa" w:w="331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Las pruebas de backend tenían anotaciones any que impedían lint limpio.</w:t>
            </w:r>
          </w:p>
        </w:tc>
        <w:tc>
          <w:tcPr>
            <w:tcW w:type="dxa" w:w="331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Se tiparon o infirieron los parámetros sin cambiar expectativas.</w:t>
            </w:r>
          </w:p>
        </w:tc>
        <w:tc>
          <w:tcPr>
            <w:tcW w:type="dxa" w:w="16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Cerrada.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OBS-002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La pantalla muestra -$0.00 y +$0.00 cuando descuento o recargo son cero.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UI-03 valida el valor 0.00, sin fijar el signo como requisito.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Pendiente decisión de producto.</w:t>
            </w:r>
          </w:p>
        </w:tc>
      </w:tr>
    </w:tbl>
    <w:p/>
    <w:p>
      <w:pPr>
        <w:pStyle w:val="Heading1"/>
      </w:pPr>
      <w:r>
        <w:rPr>
          <w:color w:val="000000"/>
        </w:rPr>
        <w:t>3 Reglas verificadas y resultados</w:t>
      </w:r>
    </w:p>
    <w:p>
      <w:r>
        <w:t>Los cálculos se verificaron contra valores independientes del código. A 2.00 kg el subtotal es $9.00. La matriz siguiente confirma la combinación de descuento y recargo.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17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Envío</w:t>
            </w:r>
          </w:p>
        </w:tc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Descuento</w:t>
            </w:r>
          </w:p>
        </w:tc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Recargo</w:t>
            </w:r>
          </w:p>
        </w:tc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NUEVO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ESTANDAR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$9.00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CP-201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NUEVO</w:t>
            </w:r>
          </w:p>
        </w:tc>
        <w:tc>
          <w:tcPr>
            <w:tcW w:type="dxa" w:w="172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$2.25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$11.25</w:t>
            </w:r>
          </w:p>
        </w:tc>
        <w:tc>
          <w:tcPr>
            <w:tcW w:type="dxa" w:w="115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CP-202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FRECUENTE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ESTANDAR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$0.90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$8.10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CP-203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FRECUENTE</w:t>
            </w:r>
          </w:p>
        </w:tc>
        <w:tc>
          <w:tcPr>
            <w:tcW w:type="dxa" w:w="172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$0.90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$2.25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$10.35</w:t>
            </w:r>
          </w:p>
        </w:tc>
        <w:tc>
          <w:tcPr>
            <w:tcW w:type="dxa" w:w="115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CP-204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ESTANDAR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$1.80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$7.20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CP-205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172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$1.80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$2.25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$9.45</w:t>
            </w:r>
          </w:p>
        </w:tc>
        <w:tc>
          <w:tcPr>
            <w:tcW w:type="dxa" w:w="115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CP-206</w:t>
            </w:r>
          </w:p>
        </w:tc>
      </w:tr>
    </w:tbl>
    <w:p/>
    <w:p>
      <w:r>
        <w:t>El redondeo se hace en decimal half-up por importe. El caso CP-207 comprueba que 0.03 kg, NUEVO y EXPRESS totaliza $6.33: subtotal $5.06, recargo $1.27 y descuento $0.00.</w:t>
      </w:r>
    </w:p>
    <w:p>
      <w:pPr>
        <w:pStyle w:val="Heading1"/>
      </w:pPr>
      <w:r>
        <w:rPr>
          <w:color w:val="000000"/>
        </w:rPr>
        <w:t>4 Límites y validación de entradas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7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Rechazo por mínimo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CP-109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37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Aceptado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$5.02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CP-101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Aceptado primer tramo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$15.00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CP-104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5.01</w:t>
            </w:r>
          </w:p>
        </w:tc>
        <w:tc>
          <w:tcPr>
            <w:tcW w:type="dxa" w:w="37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Aceptado segundo tramo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$25.04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CP-105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Aceptado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$85.00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CP-108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20.01</w:t>
            </w:r>
          </w:p>
        </w:tc>
        <w:tc>
          <w:tcPr>
            <w:tcW w:type="dxa" w:w="37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Rechazo por límite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CP-110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20.001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Formato inválido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CP-003 / CP-111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374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Formato inválido</w:t>
            </w:r>
          </w:p>
        </w:tc>
        <w:tc>
          <w:tcPr>
            <w:tcW w:type="dxa" w:w="129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CP-002 / CP-112</w:t>
            </w:r>
          </w:p>
        </w:tc>
      </w:tr>
    </w:tbl>
    <w:p/>
    <w:p>
      <w:r>
        <w:t>No existe un campo de entrada llamado monto. En este informe, monto es el total cotizado de salida; por ello sus límites se prueban mediante los límites del peso. Se aceptan 7.5, 7,5 y espacios externos; formatos de miles, notación exponencial o más de dos decimales se rechazan.</w:t>
      </w:r>
    </w:p>
    <w:p>
      <w:pPr>
        <w:pStyle w:val="Heading1"/>
      </w:pPr>
      <w:r>
        <w:rPr>
          <w:color w:val="000000"/>
        </w:rPr>
        <w:t>5 Diseño de pruebas y cobertura</w:t>
      </w:r>
    </w:p>
    <w:p>
      <w:r>
        <w:t>Se incorporó una suite de caja negra para la API con los CP-101 a CP-207; cubre BVA, tabla de decisión y el caso de redondeo. La interfaz dispone de UI-01 a UI-08 y añade una variante de UI-08 contra el backend real. El informe técnico completo conserva la trazabilidad de rutas de control y de las pruebas existentes.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Líneas</w:t>
            </w:r>
          </w:p>
        </w:tc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Ramas</w:t>
            </w:r>
          </w:p>
        </w:tc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Funciones</w:t>
            </w:r>
          </w:p>
        </w:tc>
        <w:tc>
          <w:tcPr>
            <w:tcW w:type="dxa" w:w="17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Sentencias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98.38 %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96.96 %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95.83 %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98.48 %</w:t>
            </w:r>
          </w:p>
        </w:tc>
      </w:tr>
      <w:tr>
        <w:tc>
          <w:tcPr>
            <w:tcW w:type="dxa" w:w="259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Cotización dominio</w:t>
            </w:r>
          </w:p>
        </w:tc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72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96.96 %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2592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Configuración</w:t>
            </w:r>
          </w:p>
        </w:tc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58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1728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100 %</w:t>
            </w:r>
          </w:p>
        </w:tc>
      </w:tr>
    </w:tbl>
    <w:p/>
    <w:p>
      <w:r>
        <w:t>No se excluyó Swagger de la medición. La rama pendiente del reporte corresponde a configuración interna de Swagger, y permanece visible en la evidencia de cobertura.</w:t>
      </w:r>
    </w:p>
    <w:p>
      <w:pPr>
        <w:pStyle w:val="Heading1"/>
      </w:pPr>
      <w:r>
        <w:rPr>
          <w:color w:val="000000"/>
        </w:rPr>
        <w:t>6 Caja blanca algoritmo de cálculo</w:t>
      </w:r>
    </w:p>
    <w:p>
      <w:r>
        <w:t>El grafo de flujo de control del cálculo incorpora las seis validaciones de entrada y la decisión de tramo. Los errores convergen en un único nodo Fin.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72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Flujo de control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Inicio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2 a 7</w:t>
            </w:r>
          </w:p>
        </w:tc>
        <w:tc>
          <w:tcPr>
            <w:tcW w:type="dxa" w:w="720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Peso finito, máximo dos decimales, mínimo, máximo, cliente válido y envío válido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Decisión de tarifa: peso menor o igual a 5 kg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Calcular base, costo por peso, descuento, recargo y total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Error de validación</w:t>
            </w:r>
          </w:p>
        </w:tc>
      </w:tr>
      <w:tr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Fin único</w:t>
            </w:r>
          </w:p>
        </w:tc>
      </w:tr>
    </w:tbl>
    <w:p/>
    <w:p>
      <w:r>
        <w:t>Complejidad ciclomática: N = 11 nodos; E = 17 aristas. V(G) = E − N + 2 = 17 − 11 + 2 = 8. El resultado también coincide con decisiones + 1: siete decisiones reales más una unidad. El valor 7 corresponde solamente al validador aislado; el algoritmo completo añade la selección de tramo.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Camino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2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Resultado obtenido</w:t>
            </w:r>
          </w:p>
        </w:tc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NaN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Error por peso no finito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validarEntrada</w:t>
            </w:r>
          </w:p>
        </w:tc>
      </w:tr>
      <w:tr>
        <w:tc>
          <w:tcPr>
            <w:tcW w:type="dxa" w:w="93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0.001 kg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Error por formato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CP-112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0 kg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Error por mínimo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CP-109</w:t>
            </w:r>
          </w:p>
        </w:tc>
      </w:tr>
      <w:tr>
        <w:tc>
          <w:tcPr>
            <w:tcW w:type="dxa" w:w="93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20.01 kg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Error por límite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CP-110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Cliente o envío inválido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Error de enumeración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API inválidos</w:t>
            </w:r>
          </w:p>
        </w:tc>
      </w:tr>
      <w:tr>
        <w:tc>
          <w:tcPr>
            <w:tcW w:type="dxa" w:w="93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5.00 kg NUEVO ESTANDAR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$15.00 primer tramo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CP-104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5.01 kg NUEVO ESTANDAR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$25.04 segundo tramo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CP-105</w:t>
            </w:r>
          </w:p>
        </w:tc>
      </w:tr>
      <w:tr>
        <w:tc>
          <w:tcPr>
            <w:tcW w:type="dxa" w:w="93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P8</w:t>
            </w:r>
          </w:p>
        </w:tc>
        <w:tc>
          <w:tcPr>
            <w:tcW w:type="dxa" w:w="3024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0.03 kg NUEVO EXPRESS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$6.33 half-up</w:t>
            </w:r>
          </w:p>
        </w:tc>
        <w:tc>
          <w:tcPr>
            <w:tcW w:type="dxa" w:w="1440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sz w:val="18"/>
              </w:rPr>
              <w:t>CP-207</w:t>
            </w:r>
          </w:p>
        </w:tc>
      </w:tr>
    </w:tbl>
    <w:p/>
    <w:p>
      <w:pPr>
        <w:pStyle w:val="Heading1"/>
      </w:pPr>
      <w:r>
        <w:rPr>
          <w:color w:val="000000"/>
        </w:rPr>
        <w:t>7 Rendimiento local</w:t>
      </w:r>
    </w:p>
    <w:p>
      <w:r>
        <w:t>Se creó un script Node sin dependencias adicionales que usa fetch y Promise.all para ejecutar 50 cotizaciones concurrentes. En la ejecución local: 50 solicitudes exitosas, 0 errores 5xx, p50 de 31.74 ms, p95 de 34.15 ms y tiempo total de 65.38 ms. El resultado cumple el criterio local definido, pero no sustituye una prueba de carga distribuida.</w:t>
      </w:r>
    </w:p>
    <w:p>
      <w:pPr>
        <w:pStyle w:val="Heading1"/>
      </w:pPr>
      <w:r>
        <w:rPr>
          <w:color w:val="000000"/>
        </w:rPr>
        <w:t>8 Conclusiones y pendientes</w:t>
      </w:r>
    </w:p>
    <w:p>
      <w:r>
        <w:t>Las reglas de negocio, los límites de peso, la tabla de decisión, el redondeo, la API y la interfaz quedaron verificados con evidencia. La cobertura supera el umbral acordado y el benchmark local no detectó errores bajo 50 solicitudes simultáneas.</w:t>
      </w:r>
    </w:p>
    <w:p>
      <w:pPr>
        <w:pStyle w:val="ListBullet"/>
      </w:pPr>
      <w:r>
        <w:t>Decidir si los valores cero deben conservar el signo en pantalla.</w:t>
      </w:r>
    </w:p>
    <w:p>
      <w:pPr>
        <w:pStyle w:val="ListBullet"/>
      </w:pPr>
      <w:r>
        <w:t>Ejecutar k6 o Locust contra un entorno desplegado para medir carga representativa.</w:t>
      </w:r>
    </w:p>
    <w:p>
      <w:pPr>
        <w:pStyle w:val="ListBullet"/>
      </w:pPr>
      <w:r>
        <w:t>Aceptar explícitamente el salto comercial de $10.04 entre 5.00 y 5.01 kg.</w:t>
      </w:r>
    </w:p>
    <w:p>
      <w:pPr>
        <w:pStyle w:val="Heading1"/>
      </w:pPr>
      <w:r>
        <w:rPr>
          <w:color w:val="000000"/>
        </w:rPr>
        <w:t>9 Evidencias y ejecución</w:t>
      </w:r>
    </w:p>
    <w:p>
      <w:r>
        <w:t>Las evidencias se conservan en docs/evidencias. Para reproducir: ejecutar las pruebas de Backend con cobertura, las pruebas unitarias y Playwright de Frontend, y luego iniciar Backend en el puerto 8001 para correr tests/performance/cotizacion-local.mjs con 50 solicitudes concurrentes.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Proyecto FastExpress  •  Informe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FastExpress  |  Informe de aseguramiento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