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QA FastExpress</w:t>
      </w:r>
    </w:p>
    <w:p>
      <w:pPr>
        <w:jc w:val="center"/>
      </w:pPr>
      <w:r>
        <w:rPr>
          <w:i/>
        </w:rPr>
        <w:t>Cotización de envíos y descuentos</w:t>
      </w:r>
    </w:p>
    <w:p>
      <w:pPr>
        <w:jc w:val="center"/>
      </w:pPr>
      <w:r>
        <w:rPr>
          <w:sz w:val="18"/>
        </w:rPr>
        <w:t>Curso: Calidad de Software</w:t>
      </w:r>
    </w:p>
    <w:p>
      <w:pPr>
        <w:jc w:val="center"/>
      </w:pPr>
      <w:r>
        <w:rPr>
          <w:sz w:val="18"/>
        </w:rPr>
        <w:t>Equipo: Adolfo Andres Cera Urueta, Juan Esteban Ordoñez Tobon, Samuel David Morales Rios</w:t>
      </w:r>
    </w:p>
    <w:p>
      <w:pPr>
        <w:jc w:val="center"/>
      </w:pPr>
      <w:r>
        <w:rPr>
          <w:sz w:val="18"/>
        </w:rPr>
        <w:t>Repositorio: https://github.com/Geriberto123/FastExpress.git</w:t>
      </w:r>
    </w:p>
    <w:p/>
    <w:p>
      <w:r>
        <w:rPr>
          <w:b/>
        </w:rPr>
        <w:t xml:space="preserve">Resultado ejecutivo. </w:t>
      </w:r>
      <w:r>
        <w:t>La funcionalidad de cotización quedó verificada con evidencia automatizada: 177 pruebas de backend, 3 pruebas unitarias de validadores y 11 pruebas de interfaz superaron la ejecución de la base 7b98b16 registrada en docs/evidencias. Estas cifras corresponden a esa ejecución; si la versión final añade pruebas, debe repetirse la ejecución y actualizar este informe.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9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16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417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177 de 177 pruebas correctas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docs/evidencias/backend-jest.json</w:t>
            </w:r>
          </w:p>
        </w:tc>
      </w:tr>
      <w:tr>
        <w:tc>
          <w:tcPr>
            <w:tcW w:type="dxa" w:w="19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Validadores frontend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3 de 3 correctas</w:t>
            </w:r>
          </w:p>
        </w:tc>
        <w:tc>
          <w:tcPr>
            <w:tcW w:type="dxa" w:w="41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docs/evidencias/frontend-unit.txt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Interfaz Playwright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11 de 11 correctas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docs/evidencias/frontend-ui.txt</w:t>
            </w:r>
          </w:p>
        </w:tc>
      </w:tr>
      <w:tr>
        <w:tc>
          <w:tcPr>
            <w:tcW w:type="dxa" w:w="19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Cobertura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98.38 % líneas  |  96.96 % ramas</w:t>
            </w:r>
          </w:p>
        </w:tc>
        <w:tc>
          <w:tcPr>
            <w:tcW w:type="dxa" w:w="41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docs/evidencias/coverage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Carga local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50 de 50 correctas  |  p95 34.15 ms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docs/evidencias/performance.txt</w:t>
            </w:r>
          </w:p>
        </w:tc>
      </w:tr>
    </w:tbl>
    <w:p/>
    <w:p>
      <w:pPr>
        <w:pStyle w:val="Heading1"/>
      </w:pPr>
      <w:r>
        <w:rPr>
          <w:color w:val="000000"/>
        </w:rPr>
        <w:t>1 Alcance y criterios de aceptación</w:t>
      </w:r>
    </w:p>
    <w:p>
      <w:r>
        <w:t>El trabajo cubrió las reglas BR-01 a BR-04: tarifa base de $5.00, tarifa por peso por tramo, descuento por tipo de cliente y recargo EXPRESS sobre el subtotal antes del descuento. También se revisaron validaciones, mensajes, API REST, visualización de la interfaz y respuesta bajo concurrencia.</w:t>
      </w:r>
    </w:p>
    <w:p>
      <w:pPr>
        <w:pStyle w:val="ListBullet"/>
      </w:pPr>
      <w:r>
        <w:t>Criterio de cobertura: mínimo 85 % en líneas y ramas.</w:t>
      </w:r>
    </w:p>
    <w:p>
      <w:pPr>
        <w:pStyle w:val="ListBullet"/>
      </w:pPr>
      <w:r>
        <w:t>Criterio local de rendimiento: p95 menor de 500 ms y cero respuestas 5xx.</w:t>
      </w:r>
    </w:p>
    <w:p>
      <w:pPr>
        <w:pStyle w:val="ListBullet"/>
      </w:pPr>
      <w:r>
        <w:t>La especificación, no la implementación, se usó como oráculo de resultados.</w:t>
      </w:r>
    </w:p>
    <w:p>
      <w:pPr>
        <w:pStyle w:val="Heading1"/>
      </w:pPr>
      <w:r>
        <w:rPr>
          <w:color w:val="000000"/>
        </w:rPr>
        <w:t>2 Hallazgos y correcciones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331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Acción tomada</w:t>
            </w:r>
          </w:p>
        </w:tc>
        <w:tc>
          <w:tcPr>
            <w:tcW w:type="dxa" w:w="165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BUG-001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El HTML referenciaba css/js mientras los directorios versionados son Css/Js. Puede fallar en servidores sensibles a mayúsculas.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Se corrigieron las rutas de hoja de estilo y scripts.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Corregido; UI-09 verifica la carga sin 4xx/5xx.</w:t>
            </w:r>
          </w:p>
        </w:tc>
      </w:tr>
      <w:tr>
        <w:tc>
          <w:tcPr>
            <w:tcW w:type="dxa" w:w="100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OBS-001</w:t>
            </w:r>
          </w:p>
        </w:tc>
        <w:tc>
          <w:tcPr>
            <w:tcW w:type="dxa" w:w="331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Las pruebas de backend tenían anotaciones any que impedían lint limpio.</w:t>
            </w:r>
          </w:p>
        </w:tc>
        <w:tc>
          <w:tcPr>
            <w:tcW w:type="dxa" w:w="331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Se tiparon o infirieron los parámetros sin cambiar expectativas.</w:t>
            </w:r>
          </w:p>
        </w:tc>
        <w:tc>
          <w:tcPr>
            <w:tcW w:type="dxa" w:w="165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Cerrada.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La pantalla muestra -$0.00 y +$0.00 cuando descuento o recargo son cero.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UI-03 valida el valor 0.00, sin fijar el signo como requisito.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Pendiente decisión de producto.</w:t>
            </w:r>
          </w:p>
        </w:tc>
      </w:tr>
    </w:tbl>
    <w:p/>
    <w:p>
      <w:pPr>
        <w:pStyle w:val="Heading1"/>
      </w:pPr>
      <w:r>
        <w:rPr>
          <w:color w:val="000000"/>
        </w:rPr>
        <w:t>3 Reglas verificadas y resultados</w:t>
      </w:r>
    </w:p>
    <w:p>
      <w:r>
        <w:t>Los cálculos se verificaron contra valores independientes del código. A 2.00 kg el subtotal es $9.00. La matriz siguiente confirma la combinación de descuento y recargo.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Cliente</w:t>
            </w:r>
          </w:p>
        </w:tc>
        <w:tc>
          <w:tcPr>
            <w:tcW w:type="dxa" w:w="172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Envío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Descuento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Recargo</w:t>
            </w:r>
          </w:p>
        </w:tc>
        <w:tc>
          <w:tcPr>
            <w:tcW w:type="dxa" w:w="129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15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$9.00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CP-201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$11.25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CP-202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FRECUENTE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$0.90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$8.10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CP-203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FRECUENTE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$0.90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$10.35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CP-204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$1.80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$7.20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CP-205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$1.80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$9.45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CP-206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INVÁLIDO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 400 cliente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CP-208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INVÁLIDO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 400 envío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CP-209</w:t>
            </w:r>
          </w:p>
        </w:tc>
      </w:tr>
    </w:tbl>
    <w:p/>
    <w:p>
      <w:r>
        <w:t>El redondeo se hace en decimal half-up por importe. El caso CP-207 comprueba que 0.03 kg, NUEVO y EXPRESS totaliza $6.33: subtotal $5.06, recargo $1.27 y descuento $0.00.</w:t>
      </w:r>
    </w:p>
    <w:p>
      <w:pPr>
        <w:pStyle w:val="Heading1"/>
      </w:pPr>
      <w:r>
        <w:rPr>
          <w:color w:val="000000"/>
        </w:rPr>
        <w:t>4 Límites, clases de equivalencia y validación de entradas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7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Clase EP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Ejemplos</w:t>
            </w:r>
          </w:p>
        </w:tc>
        <w:tc>
          <w:tcPr>
            <w:tcW w:type="dxa" w:w="288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201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Prueba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Vacío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''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El peso es obligatorio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UI-02</w:t>
            </w:r>
          </w:p>
        </w:tc>
      </w:tr>
      <w:tr>
        <w:tc>
          <w:tcPr>
            <w:tcW w:type="dxa" w:w="23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No numérico o formato inválido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abc, 5kg, 1e3, 5,</w:t>
            </w:r>
          </w:p>
        </w:tc>
        <w:tc>
          <w:tcPr>
            <w:tcW w:type="dxa" w:w="288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201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CP-002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Menor o igual a cero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0, 0.00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mínimo 0.01 kg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CP-109</w:t>
            </w:r>
          </w:p>
        </w:tc>
      </w:tr>
      <w:tr>
        <w:tc>
          <w:tcPr>
            <w:tcW w:type="dxa" w:w="23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Tramo 1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0.01 a 5.00</w:t>
            </w:r>
          </w:p>
        </w:tc>
        <w:tc>
          <w:tcPr>
            <w:tcW w:type="dxa" w:w="288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Tarifa de 2 USD/kg</w:t>
            </w:r>
          </w:p>
        </w:tc>
        <w:tc>
          <w:tcPr>
            <w:tcW w:type="dxa" w:w="201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CP-101 a CP-104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Tramo 2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 a 20.00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Tarifa de 4 USD/kg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CP-105 a CP-108</w:t>
            </w:r>
          </w:p>
        </w:tc>
      </w:tr>
      <w:tr>
        <w:tc>
          <w:tcPr>
            <w:tcW w:type="dxa" w:w="23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Superior al máximo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20.01</w:t>
            </w:r>
          </w:p>
        </w:tc>
        <w:tc>
          <w:tcPr>
            <w:tcW w:type="dxa" w:w="288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Límite excedido</w:t>
            </w:r>
          </w:p>
        </w:tc>
        <w:tc>
          <w:tcPr>
            <w:tcW w:type="dxa" w:w="201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CP-110</w:t>
            </w:r>
          </w:p>
        </w:tc>
      </w:tr>
    </w:tbl>
    <w:p/>
    <w:p>
      <w:r>
        <w:t>BVA de peso con NUEVO y ESTANDAR: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7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29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Rechazo por mínimo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CP-109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$5.02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CP-101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 primer tramo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CP-104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 segundo tramo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$25.04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CP-105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$85.00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CP-108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Rechazo por límite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CP-110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20.001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CP-003 / CP-111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CP-002 / CP-112</w:t>
            </w:r>
          </w:p>
        </w:tc>
      </w:tr>
    </w:tbl>
    <w:p/>
    <w:p>
      <w:r>
        <w:t>Clases de equivalencia del peso: vacío (UI-02), no numérico o formato inválido (CP-002), menor o igual a cero (CP-109 para 0 y 0.00), tramo 1 (CP-101 a CP-104), tramo 2 (CP-105 a CP-108) y superior al máximo (CP-110). El valor negativo -1 se rechaza por formato antes que por mínimo; aún no tiene un caso propio y se recomienda añadirlo.</w:t>
      </w:r>
    </w:p>
    <w:p>
      <w:r>
        <w:t>No existe un campo de entrada llamado monto. En este informe, monto es el total cotizado de salida; sus límites se prueban mediante los límites del peso y se resumen en la siguiente tabla.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1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 de la prueba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 esperado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VIP, 0.01 kg, ESTANDAR (mínimo alcanzable)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4.02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CP-301</w:t>
            </w:r>
          </w:p>
        </w:tc>
      </w:tr>
      <w:tr>
        <w:tc>
          <w:tcPr>
            <w:tcW w:type="dxa" w:w="51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VIP, 0.02 kg, ESTANDAR (vecino superior)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4.03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CP-302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NUEVO, 0.01 kg, ESTANDAR (referencia)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CP-303</w:t>
            </w:r>
          </w:p>
        </w:tc>
      </w:tr>
      <w:tr>
        <w:tc>
          <w:tcPr>
            <w:tcW w:type="dxa" w:w="51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NUEVO, 20.00 kg, ESTANDAR (máximo ESTANDAR)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85.00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CP-304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NUEVO, 20.00 kg, EXPRESS (máximo alcanzable)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106.25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CP-305</w:t>
            </w:r>
          </w:p>
        </w:tc>
      </w:tr>
      <w:tr>
        <w:tc>
          <w:tcPr>
            <w:tcW w:type="dxa" w:w="51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Entradas válidas (no alcanzable)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4.01 no aparece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CP-306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Entradas válidas (no alcanzable)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106.26 no aparece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CP-307</w:t>
            </w:r>
          </w:p>
        </w:tc>
      </w:tr>
    </w:tbl>
    <w:p/>
    <w:p>
      <w:r>
        <w:t>CP-306 y CP-307 recorren exhaustivamente los pesos de 0.01 a 20.00 kg y todas las combinaciones de cliente y envío permitidas; ninguno de los dos totales aparece.</w:t>
      </w:r>
    </w:p>
    <w:p>
      <w:pPr>
        <w:pStyle w:val="Heading1"/>
      </w:pPr>
      <w:r>
        <w:rPr>
          <w:color w:val="000000"/>
        </w:rPr>
        <w:t>5 Diseño de pruebas y cobertura</w:t>
      </w:r>
    </w:p>
    <w:p>
      <w:r>
        <w:t>Se incorporó una suite de caja negra para la API con los CP-101 a CP-307. La interfaz dispone de UI-01 a UI-09. Las tres pruebas de visualización de la cotización se distinguen así: UI-08a (acepta coma y muestra el total de la API interceptada), UI-08b (reproduce una tabla BVA y de decisión con respuestas interceptadas) y UI-08c (flujo contra el backend real).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Líneas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Ramas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Funciones</w:t>
            </w:r>
          </w:p>
        </w:tc>
        <w:tc>
          <w:tcPr>
            <w:tcW w:type="dxa" w:w="172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Sentencias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98.38 %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96.96 %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95.83 %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98.48 %</w:t>
            </w:r>
          </w:p>
        </w:tc>
      </w:tr>
      <w:tr>
        <w:tc>
          <w:tcPr>
            <w:tcW w:type="dxa" w:w="259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Cotización dominio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96.96 %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259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Configuración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ber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Captura del reporte de cobertura (lcov-report) de la ejecución medida.</w:t>
      </w:r>
    </w:p>
    <w:p>
      <w:r>
        <w:t>No se excluyó ningún archivo de la medición. La rama pendiente de src/http corresponde a la expresión error.constraints ?? {} dentro de la fábrica de excepciones de validación (configurar-app.ts, línea 35 en la versión medida y línea 37 en la versión actual); es un fallback que la validación vigente no alcanza. La rama pendiente de src corresponde a la condición require.main === module de main.ts, que solo se ejecuta al arrancar el proceso. Ambas ramas permanecen visibles en el reporte y ninguna se oculta.</w:t>
      </w:r>
    </w:p>
    <w:p>
      <w:pPr>
        <w:pStyle w:val="Heading1"/>
      </w:pPr>
      <w:r>
        <w:rPr>
          <w:color w:val="000000"/>
        </w:rPr>
        <w:t>6 Caja blanca: algoritmo de cálculo</w:t>
      </w:r>
    </w:p>
    <w:p>
      <w:r>
        <w:t>El grafo de flujo de control del cálculo expandido incorpora las seis validaciones de entrada y la decisión de tramo. Los errores convergen en un único nodo Fin.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425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42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Grafo de flujo de control del cálculo expandido (fuente: docs/evidencias/cfg.mmd).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Nodo</w:t>
            </w:r>
          </w:p>
        </w:tc>
        <w:tc>
          <w:tcPr>
            <w:tcW w:type="dxa" w:w="720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Flujo de control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Inicio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 a 7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finito, máximo dos decimales, mínimo, máximo, cliente válido y envío válido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Decisión de tarifa: peso menor o igual a 5 kg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9a / 9b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Cálculo con tarifa de 2 USD/kg (9a) o de 4 USD/kg (9b)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de validación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Fin único</w:t>
            </w:r>
          </w:p>
        </w:tc>
      </w:tr>
    </w:tbl>
    <w:p/>
    <w:p>
      <w:r>
        <w:t>Complejidad ciclomática del modelo expandido: N = 12 nodos; E = 18 aristas. V(G) = E − N + 2 = 18 − 12 + 2 = 8, que coincide con siete decisiones más uno. Los modelos aislados no se suman entre sí: el validador tiene V(G) = 7 y el cálculo de tarifa, V(G) =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86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Camino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Nodos</w:t>
            </w:r>
          </w:p>
        </w:tc>
        <w:tc>
          <w:tcPr>
            <w:tcW w:type="dxa" w:w="37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 y resultado esperado</w:t>
            </w:r>
          </w:p>
        </w:tc>
        <w:tc>
          <w:tcPr>
            <w:tcW w:type="dxa" w:w="316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Prueba que lo ejerce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1-2-10-11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no finito (NaN) → error de peso finito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1-2-3-10-11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0.001 → error de precisión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CP-112 (API)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1-2-3-4-10-11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0 → error de mínimo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CP-109 (API)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1-2-3-4-5-10-11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20.01 → error de máximo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CP-110 (API)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P5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1-2-3-4-5-6-10-11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Cliente inválido (p. ej. 'vip') → error de cliente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CP-208 (contrato API)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P6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1-2-3-4-5-6-7-10-11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Envío inválido (p. ej. 'URGENTE') → error de envío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CP-209 (contrato API)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P7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1-…-8-9a-11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5.00 kg, NUEVO, ESTANDAR → total $15.00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calculador-tarifa.spec.ts; CP-104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P8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1-…-8-9b-11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 kg, NUEVO, ESTANDAR → total $25.04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calculador-tarifa.spec.ts; CP-105</w:t>
            </w:r>
          </w:p>
        </w:tc>
      </w:tr>
    </w:tbl>
    <w:p/>
    <w:p>
      <w:r>
        <w:t>Las pruebas de API (CP-xxx) verifican el contrato HTTP; la cobertura de las rutas internas del validador se demuestra con las pruebas unitarias directas. El redondeo half-up (CP-207) es una prueba de datos sobre P7 y no un camino de control adicional.</w:t>
      </w:r>
    </w:p>
    <w:p>
      <w:pPr>
        <w:pStyle w:val="Heading1"/>
      </w:pPr>
      <w:r>
        <w:rPr>
          <w:color w:val="000000"/>
        </w:rPr>
        <w:t>7 Rendimiento local</w:t>
      </w:r>
    </w:p>
    <w:p>
      <w:r>
        <w:t>Se creó un script Node sin dependencias adicionales que usa fetch y Promise.all para ejecutar 50 cotizaciones concurrentes. En la ejecución local: 50 solicitudes exitosas, 0 errores 5xx, p50 de 31.74 ms, p95 de 34.15 ms y tiempo total de 65.38 ms. El resultado cumple el criterio local definido, pero no sustituye una prueba de carga distribuida.</w:t>
      </w:r>
    </w:p>
    <w:p>
      <w:pPr>
        <w:pStyle w:val="Heading1"/>
      </w:pPr>
      <w:r>
        <w:rPr>
          <w:color w:val="000000"/>
        </w:rPr>
        <w:t>8 Ciclo de defectos y pendientes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633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BUG-001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Cerrado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Carga de recursos del frontend: 404 en /css/styles.css y /js/*.js en servidor sensible a mayúsculas (docs/evidencias/bug-001-repro.txt). Verificado por UI-09.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OBS-002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Pendiente de producto</w:t>
            </w:r>
          </w:p>
        </w:tc>
        <w:tc>
          <w:tcPr>
            <w:tcW w:type="dxa" w:w="633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Presentación de -$0.00 y +$0.00 en cero. No es un defecto confirmado del cálculo.</w:t>
            </w:r>
          </w:p>
        </w:tc>
      </w:tr>
    </w:tbl>
    <w:p/>
    <w:p>
      <w:pPr>
        <w:pStyle w:val="Heading1"/>
      </w:pPr>
      <w:r>
        <w:rPr>
          <w:color w:val="000000"/>
        </w:rPr>
        <w:t>9 Conclusiones riesgos y mejoras futuras</w:t>
      </w:r>
    </w:p>
    <w:p>
      <w:r>
        <w:t>El proceso de QA de FastExpress concluye con evidencia de las reglas BR-01 a BR-04, las particiones y valores límite, la tabla de decisión, el redondeo half-up, la API, la interfaz UI-01 a UI-09, la cobertura y el benchmark local. La ejecución registrada cumple el umbral de cobertura establecido y no reporta fallos en las suites ejecutadas; por tanto, el alcance definido para esta entrega final queda verificado.</w:t>
      </w:r>
    </w:p>
    <w:p>
      <w:r>
        <w:t>Para este informe, Monto se documenta y evalúa como el total cotizado de salida. Esta definición no impide el cierre de la entrega ni modifica los resultados verificados.</w:t>
      </w:r>
    </w:p>
    <w:p>
      <w:pPr>
        <w:pStyle w:val="Heading1"/>
      </w:pPr>
      <w:r>
        <w:rPr>
          <w:color w:val="000000"/>
        </w:rPr>
        <w:t>10 Evidencias y ejecución</w:t>
      </w:r>
    </w:p>
    <w:p>
      <w:r>
        <w:t>Las evidencias se conservan en docs/evidencias. Para reproducir: ejecutar las pruebas de Backend con cobertura, las pruebas unitarias y Playwright de Frontend, y luego iniciar Backend en el puerto 8001 para correr tests/performance/cotizacion-local.mjs con 50 solicitudes concurrentes.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Proyecto FastExpress  •  Informe QA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6"/>
      </w:rPr>
      <w:t>FastExpress  |  Informe de aseguramiento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