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02E3DD" w14:textId="77777777" w:rsid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drawing>
          <wp:inline distT="0" distB="0" distL="0" distR="0" wp14:anchorId="54EBDB45" wp14:editId="170188B1">
            <wp:extent cx="5731510" cy="2950210"/>
            <wp:effectExtent l="0" t="0" r="0" b="0"/>
            <wp:docPr id="10479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88776" name=""/>
                    <pic:cNvPicPr/>
                  </pic:nvPicPr>
                  <pic:blipFill>
                    <a:blip r:embed="rId5"/>
                    <a:stretch>
                      <a:fillRect/>
                    </a:stretch>
                  </pic:blipFill>
                  <pic:spPr>
                    <a:xfrm>
                      <a:off x="0" y="0"/>
                      <a:ext cx="5731510" cy="2950210"/>
                    </a:xfrm>
                    <a:prstGeom prst="rect">
                      <a:avLst/>
                    </a:prstGeom>
                  </pic:spPr>
                </pic:pic>
              </a:graphicData>
            </a:graphic>
          </wp:inline>
        </w:drawing>
      </w:r>
    </w:p>
    <w:p w14:paraId="19F25E96" w14:textId="30E5B2A3"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July and August show a </w:t>
      </w:r>
      <w:r w:rsidRPr="009B2D49">
        <w:rPr>
          <w:rFonts w:ascii="Times New Roman" w:eastAsia="Times New Roman" w:hAnsi="Times New Roman" w:cs="Times New Roman"/>
          <w:b/>
          <w:bCs/>
          <w:kern w:val="0"/>
          <w:lang w:val="en-AU"/>
          <w14:ligatures w14:val="none"/>
        </w:rPr>
        <w:t>small fall in Christchurch Airbnb asking prices while the citywide tenancy median stayed unchanged</w:t>
      </w:r>
      <w:r w:rsidRPr="009B2D49">
        <w:rPr>
          <w:rFonts w:ascii="Times New Roman" w:eastAsia="Times New Roman" w:hAnsi="Times New Roman" w:cs="Times New Roman"/>
          <w:kern w:val="0"/>
          <w:lang w:val="en-AU"/>
          <w14:ligatures w14:val="none"/>
        </w:rPr>
        <w:t>. Citywide comparisons are available for both months; suburb-level tenancy comparisons remain unavailable.</w:t>
      </w:r>
    </w:p>
    <w:p w14:paraId="02235459"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The main Airbnb group is </w:t>
      </w:r>
      <w:r w:rsidRPr="009B2D49">
        <w:rPr>
          <w:rFonts w:ascii="Times New Roman" w:eastAsia="Times New Roman" w:hAnsi="Times New Roman" w:cs="Times New Roman"/>
          <w:b/>
          <w:bCs/>
          <w:kern w:val="0"/>
          <w:lang w:val="en-AU"/>
          <w14:ligatures w14:val="none"/>
        </w:rPr>
        <w:t>entire homes/apartments with minimum stays of 1–30 nights</w:t>
      </w:r>
      <w:r w:rsidRPr="009B2D49">
        <w:rPr>
          <w:rFonts w:ascii="Times New Roman" w:eastAsia="Times New Roman" w:hAnsi="Times New Roman" w:cs="Times New Roman"/>
          <w:kern w:val="0"/>
          <w:lang w:val="en-AU"/>
          <w14:ligatures w14:val="none"/>
        </w:rPr>
        <w:t>, across Christchurch City, including Banks Peninsula.</w:t>
      </w:r>
    </w:p>
    <w:p w14:paraId="20679920"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July versus August</w:t>
      </w:r>
    </w:p>
    <w:p w14:paraId="416A1C58"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The Airbnb median fell from </w:t>
      </w:r>
      <w:r w:rsidRPr="009B2D49">
        <w:rPr>
          <w:rFonts w:ascii="Times New Roman" w:eastAsia="Times New Roman" w:hAnsi="Times New Roman" w:cs="Times New Roman"/>
          <w:b/>
          <w:bCs/>
          <w:kern w:val="0"/>
          <w:lang w:val="en-AU"/>
          <w14:ligatures w14:val="none"/>
        </w:rPr>
        <w:t>NZ$249/night to NZ$246/night</w:t>
      </w:r>
      <w:r w:rsidRPr="009B2D49">
        <w:rPr>
          <w:rFonts w:ascii="Times New Roman" w:eastAsia="Times New Roman" w:hAnsi="Times New Roman" w:cs="Times New Roman"/>
          <w:kern w:val="0"/>
          <w:lang w:val="en-AU"/>
          <w14:ligatures w14:val="none"/>
        </w:rPr>
        <w:t xml:space="preserve">, a decrease of </w:t>
      </w:r>
      <w:r w:rsidRPr="009B2D49">
        <w:rPr>
          <w:rFonts w:ascii="Times New Roman" w:eastAsia="Times New Roman" w:hAnsi="Times New Roman" w:cs="Times New Roman"/>
          <w:b/>
          <w:bCs/>
          <w:kern w:val="0"/>
          <w:lang w:val="en-AU"/>
          <w14:ligatures w14:val="none"/>
        </w:rPr>
        <w:t>NZ$3, or 1.2%</w:t>
      </w:r>
      <w:r w:rsidRPr="009B2D49">
        <w:rPr>
          <w:rFonts w:ascii="Times New Roman" w:eastAsia="Times New Roman" w:hAnsi="Times New Roman" w:cs="Times New Roman"/>
          <w:kern w:val="0"/>
          <w:lang w:val="en-AU"/>
          <w14:ligatures w14:val="none"/>
        </w:rPr>
        <w:t xml:space="preserve">. The official citywide tenancy median was </w:t>
      </w:r>
      <w:r w:rsidRPr="009B2D49">
        <w:rPr>
          <w:rFonts w:ascii="Times New Roman" w:eastAsia="Times New Roman" w:hAnsi="Times New Roman" w:cs="Times New Roman"/>
          <w:b/>
          <w:bCs/>
          <w:kern w:val="0"/>
          <w:lang w:val="en-AU"/>
          <w14:ligatures w14:val="none"/>
        </w:rPr>
        <w:t>NZ$550/week in both months</w:t>
      </w:r>
      <w:r w:rsidRPr="009B2D49">
        <w:rPr>
          <w:rFonts w:ascii="Times New Roman" w:eastAsia="Times New Roman" w:hAnsi="Times New Roman" w:cs="Times New Roman"/>
          <w:kern w:val="0"/>
          <w:lang w:val="en-AU"/>
          <w14:ligatures w14:val="none"/>
        </w:rPr>
        <w:t xml:space="preserve">, equivalent to </w:t>
      </w:r>
      <w:r w:rsidRPr="009B2D49">
        <w:rPr>
          <w:rFonts w:ascii="Times New Roman" w:eastAsia="Times New Roman" w:hAnsi="Times New Roman" w:cs="Times New Roman"/>
          <w:b/>
          <w:bCs/>
          <w:kern w:val="0"/>
          <w:lang w:val="en-AU"/>
          <w14:ligatures w14:val="none"/>
        </w:rPr>
        <w:t>NZ$78.57/night</w:t>
      </w:r>
      <w:r w:rsidRPr="009B2D49">
        <w:rPr>
          <w:rFonts w:ascii="Times New Roman" w:eastAsia="Times New Roman" w:hAnsi="Times New Roman" w:cs="Times New Roman"/>
          <w:kern w:val="0"/>
          <w:lang w:val="en-AU"/>
          <w14:ligatures w14:val="none"/>
        </w:rPr>
        <w:t>.</w:t>
      </w:r>
    </w:p>
    <w:p w14:paraId="1ECE43E6"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Consequently, the difference between the two citywide medians fell from </w:t>
      </w:r>
      <w:r w:rsidRPr="009B2D49">
        <w:rPr>
          <w:rFonts w:ascii="Times New Roman" w:eastAsia="Times New Roman" w:hAnsi="Times New Roman" w:cs="Times New Roman"/>
          <w:b/>
          <w:bCs/>
          <w:kern w:val="0"/>
          <w:lang w:val="en-AU"/>
          <w14:ligatures w14:val="none"/>
        </w:rPr>
        <w:t>NZ$170.43/night in July to NZ$167.43/night in August</w:t>
      </w:r>
      <w:r w:rsidRPr="009B2D49">
        <w:rPr>
          <w:rFonts w:ascii="Times New Roman" w:eastAsia="Times New Roman" w:hAnsi="Times New Roman" w:cs="Times New Roman"/>
          <w:kern w:val="0"/>
          <w:lang w:val="en-AU"/>
          <w14:ligatures w14:val="none"/>
        </w:rPr>
        <w:t xml:space="preserve">. Airbnb asking prices were approximately </w:t>
      </w:r>
      <w:r w:rsidRPr="009B2D49">
        <w:rPr>
          <w:rFonts w:ascii="Times New Roman" w:eastAsia="Times New Roman" w:hAnsi="Times New Roman" w:cs="Times New Roman"/>
          <w:b/>
          <w:bCs/>
          <w:kern w:val="0"/>
          <w:lang w:val="en-AU"/>
          <w14:ligatures w14:val="none"/>
        </w:rPr>
        <w:t>3.17 and 3.13 times</w:t>
      </w:r>
      <w:r w:rsidRPr="009B2D49">
        <w:rPr>
          <w:rFonts w:ascii="Times New Roman" w:eastAsia="Times New Roman" w:hAnsi="Times New Roman" w:cs="Times New Roman"/>
          <w:kern w:val="0"/>
          <w:lang w:val="en-AU"/>
          <w14:ligatures w14:val="none"/>
        </w:rPr>
        <w:t xml:space="preserve"> the tenancy nightly equivalent.</w:t>
      </w:r>
    </w:p>
    <w:p w14:paraId="6A0F7F8E"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These are comparisons between different properties and accommodation products. They do </w:t>
      </w:r>
      <w:r w:rsidRPr="009B2D49">
        <w:rPr>
          <w:rFonts w:ascii="Times New Roman" w:eastAsia="Times New Roman" w:hAnsi="Times New Roman" w:cs="Times New Roman"/>
          <w:b/>
          <w:bCs/>
          <w:kern w:val="0"/>
          <w:lang w:val="en-AU"/>
          <w14:ligatures w14:val="none"/>
        </w:rPr>
        <w:t>not</w:t>
      </w:r>
      <w:r w:rsidRPr="009B2D49">
        <w:rPr>
          <w:rFonts w:ascii="Times New Roman" w:eastAsia="Times New Roman" w:hAnsi="Times New Roman" w:cs="Times New Roman"/>
          <w:kern w:val="0"/>
          <w:lang w:val="en-AU"/>
          <w14:ligatures w14:val="none"/>
        </w:rPr>
        <w:t xml:space="preserve"> measure Airbnb profit: occupancy, operating costs, booking fees, property size and quality are not controlled.</w:t>
      </w:r>
    </w:p>
    <w:p w14:paraId="6F9D62D8"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The medians use </w:t>
      </w:r>
      <w:r w:rsidRPr="009B2D49">
        <w:rPr>
          <w:rFonts w:ascii="Times New Roman" w:eastAsia="Times New Roman" w:hAnsi="Times New Roman" w:cs="Times New Roman"/>
          <w:b/>
          <w:bCs/>
          <w:kern w:val="0"/>
          <w:lang w:val="en-AU"/>
          <w14:ligatures w14:val="none"/>
        </w:rPr>
        <w:t>2,496 observed prices in July and 2,512 in August</w:t>
      </w:r>
      <w:r w:rsidRPr="009B2D49">
        <w:rPr>
          <w:rFonts w:ascii="Times New Roman" w:eastAsia="Times New Roman" w:hAnsi="Times New Roman" w:cs="Times New Roman"/>
          <w:kern w:val="0"/>
          <w:lang w:val="en-AU"/>
          <w14:ligatures w14:val="none"/>
        </w:rPr>
        <w:t>, approximately 91% of the selected listings. Listing counts increased slightly, from 2,745 to 2,769. Because the listing mix can change, the 1.2% fall does not establish that the same properties reduced their prices, or that the change is statistically significant.</w:t>
      </w:r>
    </w:p>
    <w:p w14:paraId="03E5E6C4"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How to interpret the nine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7213"/>
      </w:tblGrid>
      <w:tr w:rsidR="009B2D49" w:rsidRPr="009B2D49" w14:paraId="05769681" w14:textId="77777777">
        <w:trPr>
          <w:tblHeader/>
          <w:tblCellSpacing w:w="15" w:type="dxa"/>
        </w:trPr>
        <w:tc>
          <w:tcPr>
            <w:tcW w:w="0" w:type="auto"/>
            <w:vAlign w:val="center"/>
            <w:hideMark/>
          </w:tcPr>
          <w:p w14:paraId="25D2AF11" w14:textId="77777777" w:rsidR="009B2D49" w:rsidRPr="009B2D49" w:rsidRDefault="009B2D49" w:rsidP="009B2D49">
            <w:pPr>
              <w:contextualSpacing w:val="0"/>
              <w:mirrorIndents w:val="0"/>
              <w:jc w:val="center"/>
              <w:rPr>
                <w:rFonts w:ascii="Times New Roman" w:eastAsia="Times New Roman" w:hAnsi="Times New Roman" w:cs="Times New Roman"/>
                <w:b/>
                <w:bCs/>
                <w:kern w:val="0"/>
                <w:lang w:val="en-AU"/>
                <w14:ligatures w14:val="none"/>
              </w:rPr>
            </w:pPr>
            <w:r w:rsidRPr="009B2D49">
              <w:rPr>
                <w:rFonts w:ascii="Times New Roman" w:eastAsia="Times New Roman" w:hAnsi="Times New Roman" w:cs="Times New Roman"/>
                <w:b/>
                <w:bCs/>
                <w:kern w:val="0"/>
                <w:lang w:val="en-AU"/>
                <w14:ligatures w14:val="none"/>
              </w:rPr>
              <w:t>Figure</w:t>
            </w:r>
          </w:p>
        </w:tc>
        <w:tc>
          <w:tcPr>
            <w:tcW w:w="0" w:type="auto"/>
            <w:vAlign w:val="center"/>
            <w:hideMark/>
          </w:tcPr>
          <w:p w14:paraId="1E92EC0E" w14:textId="77777777" w:rsidR="009B2D49" w:rsidRPr="009B2D49" w:rsidRDefault="009B2D49" w:rsidP="009B2D49">
            <w:pPr>
              <w:contextualSpacing w:val="0"/>
              <w:mirrorIndents w:val="0"/>
              <w:jc w:val="center"/>
              <w:rPr>
                <w:rFonts w:ascii="Times New Roman" w:eastAsia="Times New Roman" w:hAnsi="Times New Roman" w:cs="Times New Roman"/>
                <w:b/>
                <w:bCs/>
                <w:kern w:val="0"/>
                <w:lang w:val="en-AU"/>
                <w14:ligatures w14:val="none"/>
              </w:rPr>
            </w:pPr>
            <w:r w:rsidRPr="009B2D49">
              <w:rPr>
                <w:rFonts w:ascii="Times New Roman" w:eastAsia="Times New Roman" w:hAnsi="Times New Roman" w:cs="Times New Roman"/>
                <w:b/>
                <w:bCs/>
                <w:kern w:val="0"/>
                <w:lang w:val="en-AU"/>
                <w14:ligatures w14:val="none"/>
              </w:rPr>
              <w:t>What it shows and the main finding</w:t>
            </w:r>
          </w:p>
        </w:tc>
      </w:tr>
      <w:tr w:rsidR="009B2D49" w:rsidRPr="009B2D49" w14:paraId="4050AC21" w14:textId="77777777">
        <w:trPr>
          <w:tblCellSpacing w:w="15" w:type="dxa"/>
        </w:trPr>
        <w:tc>
          <w:tcPr>
            <w:tcW w:w="0" w:type="auto"/>
            <w:vAlign w:val="center"/>
            <w:hideMark/>
          </w:tcPr>
          <w:p w14:paraId="317875EE"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01 — Monthly price benchmarks</w:t>
            </w:r>
          </w:p>
        </w:tc>
        <w:tc>
          <w:tcPr>
            <w:tcW w:w="0" w:type="auto"/>
            <w:vAlign w:val="center"/>
            <w:hideMark/>
          </w:tcPr>
          <w:p w14:paraId="75510599"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Airbnb prices vary more than the citywide tenancy benchmark. March’s NZ$260 is the highest </w:t>
            </w:r>
            <w:r w:rsidRPr="009B2D49">
              <w:rPr>
                <w:rFonts w:ascii="Times New Roman" w:eastAsia="Times New Roman" w:hAnsi="Times New Roman" w:cs="Times New Roman"/>
                <w:b/>
                <w:bCs/>
                <w:kern w:val="0"/>
                <w:lang w:val="en-AU"/>
                <w14:ligatures w14:val="none"/>
              </w:rPr>
              <w:t>observed</w:t>
            </w:r>
            <w:r w:rsidRPr="009B2D49">
              <w:rPr>
                <w:rFonts w:ascii="Times New Roman" w:eastAsia="Times New Roman" w:hAnsi="Times New Roman" w:cs="Times New Roman"/>
                <w:kern w:val="0"/>
                <w:lang w:val="en-AU"/>
                <w14:ligatures w14:val="none"/>
              </w:rPr>
              <w:t xml:space="preserve"> entire-home median; missing summer prices prevent calling it the period’s true peak.</w:t>
            </w:r>
          </w:p>
        </w:tc>
      </w:tr>
      <w:tr w:rsidR="009B2D49" w:rsidRPr="009B2D49" w14:paraId="233EFB0A" w14:textId="77777777">
        <w:trPr>
          <w:tblCellSpacing w:w="15" w:type="dxa"/>
        </w:trPr>
        <w:tc>
          <w:tcPr>
            <w:tcW w:w="0" w:type="auto"/>
            <w:vAlign w:val="center"/>
            <w:hideMark/>
          </w:tcPr>
          <w:p w14:paraId="71E836E4"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lastRenderedPageBreak/>
              <w:t>02 — Listing counts</w:t>
            </w:r>
          </w:p>
        </w:tc>
        <w:tc>
          <w:tcPr>
            <w:tcW w:w="0" w:type="auto"/>
            <w:vAlign w:val="center"/>
            <w:hideMark/>
          </w:tcPr>
          <w:p w14:paraId="748EBEEA"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All-room Airbnb listings increased from 2,991 in October to 3,513 in August—about </w:t>
            </w:r>
            <w:r w:rsidRPr="009B2D49">
              <w:rPr>
                <w:rFonts w:ascii="Times New Roman" w:eastAsia="Times New Roman" w:hAnsi="Times New Roman" w:cs="Times New Roman"/>
                <w:b/>
                <w:bCs/>
                <w:kern w:val="0"/>
                <w:lang w:val="en-AU"/>
                <w14:ligatures w14:val="none"/>
              </w:rPr>
              <w:t>17.5%</w:t>
            </w:r>
            <w:r w:rsidRPr="009B2D49">
              <w:rPr>
                <w:rFonts w:ascii="Times New Roman" w:eastAsia="Times New Roman" w:hAnsi="Times New Roman" w:cs="Times New Roman"/>
                <w:kern w:val="0"/>
                <w:lang w:val="en-AU"/>
                <w14:ligatures w14:val="none"/>
              </w:rPr>
              <w:t>. These are snapshot counts, not additional unique properties each month.</w:t>
            </w:r>
          </w:p>
        </w:tc>
      </w:tr>
      <w:tr w:rsidR="009B2D49" w:rsidRPr="009B2D49" w14:paraId="103D7D4F" w14:textId="77777777">
        <w:trPr>
          <w:tblCellSpacing w:w="15" w:type="dxa"/>
        </w:trPr>
        <w:tc>
          <w:tcPr>
            <w:tcW w:w="0" w:type="auto"/>
            <w:vAlign w:val="center"/>
            <w:hideMark/>
          </w:tcPr>
          <w:p w14:paraId="423174FE"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03–04 — Area gaps and prices</w:t>
            </w:r>
          </w:p>
        </w:tc>
        <w:tc>
          <w:tcPr>
            <w:tcW w:w="0" w:type="auto"/>
            <w:vAlign w:val="center"/>
            <w:hideMark/>
          </w:tcPr>
          <w:p w14:paraId="7E61FD40"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These use </w:t>
            </w:r>
            <w:r w:rsidRPr="009B2D49">
              <w:rPr>
                <w:rFonts w:ascii="Times New Roman" w:eastAsia="Times New Roman" w:hAnsi="Times New Roman" w:cs="Times New Roman"/>
                <w:b/>
                <w:bCs/>
                <w:kern w:val="0"/>
                <w:lang w:val="en-AU"/>
                <w14:ligatures w14:val="none"/>
              </w:rPr>
              <w:t>June</w:t>
            </w:r>
            <w:r w:rsidRPr="009B2D49">
              <w:rPr>
                <w:rFonts w:ascii="Times New Roman" w:eastAsia="Times New Roman" w:hAnsi="Times New Roman" w:cs="Times New Roman"/>
                <w:kern w:val="0"/>
                <w:lang w:val="en-AU"/>
                <w14:ligatures w14:val="none"/>
              </w:rPr>
              <w:t xml:space="preserve">, the latest usable suburb comparison. Christchurch Central’s entire-home median was NZ$253/night, versus an area tenancy equivalent of NZ$76.71/night. Extreme rankings need caution: Wigram North’s largest eligible gap relied on only </w:t>
            </w:r>
            <w:r w:rsidRPr="009B2D49">
              <w:rPr>
                <w:rFonts w:ascii="Times New Roman" w:eastAsia="Times New Roman" w:hAnsi="Times New Roman" w:cs="Times New Roman"/>
                <w:b/>
                <w:bCs/>
                <w:kern w:val="0"/>
                <w:lang w:val="en-AU"/>
                <w14:ligatures w14:val="none"/>
              </w:rPr>
              <w:t>five</w:t>
            </w:r>
            <w:r w:rsidRPr="009B2D49">
              <w:rPr>
                <w:rFonts w:ascii="Times New Roman" w:eastAsia="Times New Roman" w:hAnsi="Times New Roman" w:cs="Times New Roman"/>
                <w:kern w:val="0"/>
                <w:lang w:val="en-AU"/>
                <w14:ligatures w14:val="none"/>
              </w:rPr>
              <w:t xml:space="preserve"> observed prices.</w:t>
            </w:r>
          </w:p>
        </w:tc>
      </w:tr>
      <w:tr w:rsidR="009B2D49" w:rsidRPr="009B2D49" w14:paraId="67189F3D" w14:textId="77777777">
        <w:trPr>
          <w:tblCellSpacing w:w="15" w:type="dxa"/>
        </w:trPr>
        <w:tc>
          <w:tcPr>
            <w:tcW w:w="0" w:type="auto"/>
            <w:vAlign w:val="center"/>
            <w:hideMark/>
          </w:tcPr>
          <w:p w14:paraId="21FCF952"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05 — Coverage</w:t>
            </w:r>
          </w:p>
        </w:tc>
        <w:tc>
          <w:tcPr>
            <w:tcW w:w="0" w:type="auto"/>
            <w:vAlign w:val="center"/>
            <w:hideMark/>
          </w:tcPr>
          <w:p w14:paraId="00F58C6B"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Separates geographic assignment, Airbnb price availability, suburb tenancy matches and citywide monthly rent availability. Missing coverage does not mean zero rent or zero properties.</w:t>
            </w:r>
          </w:p>
        </w:tc>
      </w:tr>
      <w:tr w:rsidR="009B2D49" w:rsidRPr="009B2D49" w14:paraId="7F2D5C34" w14:textId="77777777">
        <w:trPr>
          <w:tblCellSpacing w:w="15" w:type="dxa"/>
        </w:trPr>
        <w:tc>
          <w:tcPr>
            <w:tcW w:w="0" w:type="auto"/>
            <w:vAlign w:val="center"/>
            <w:hideMark/>
          </w:tcPr>
          <w:p w14:paraId="36A1D41C"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06–07 — Spatial gaps and bars</w:t>
            </w:r>
          </w:p>
        </w:tc>
        <w:tc>
          <w:tcPr>
            <w:tcW w:w="0" w:type="auto"/>
            <w:vAlign w:val="center"/>
            <w:hideMark/>
          </w:tcPr>
          <w:p w14:paraId="7952F928"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Show June’s variation between SA2 areas. Grey areas lack sufficient comparison data. Bar height represents price, not building height; approximate Airbnb coordinates introduce boundary uncertainty.</w:t>
            </w:r>
          </w:p>
        </w:tc>
      </w:tr>
      <w:tr w:rsidR="009B2D49" w:rsidRPr="009B2D49" w14:paraId="6B1E485D" w14:textId="77777777">
        <w:trPr>
          <w:tblCellSpacing w:w="15" w:type="dxa"/>
        </w:trPr>
        <w:tc>
          <w:tcPr>
            <w:tcW w:w="0" w:type="auto"/>
            <w:vAlign w:val="center"/>
            <w:hideMark/>
          </w:tcPr>
          <w:p w14:paraId="0A372DA8"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08 — Airbnb and active bonds</w:t>
            </w:r>
          </w:p>
        </w:tc>
        <w:tc>
          <w:tcPr>
            <w:tcW w:w="0" w:type="auto"/>
            <w:vAlign w:val="center"/>
            <w:hideMark/>
          </w:tcPr>
          <w:p w14:paraId="01DF35C4"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Compares market scale. Active bonds indicate long-term rental stock; Airbnb listings indicate listed accommodation. Neither </w:t>
            </w:r>
            <w:proofErr w:type="gramStart"/>
            <w:r w:rsidRPr="009B2D49">
              <w:rPr>
                <w:rFonts w:ascii="Times New Roman" w:eastAsia="Times New Roman" w:hAnsi="Times New Roman" w:cs="Times New Roman"/>
                <w:kern w:val="0"/>
                <w:lang w:val="en-AU"/>
                <w14:ligatures w14:val="none"/>
              </w:rPr>
              <w:t>measures</w:t>
            </w:r>
            <w:proofErr w:type="gramEnd"/>
            <w:r w:rsidRPr="009B2D49">
              <w:rPr>
                <w:rFonts w:ascii="Times New Roman" w:eastAsia="Times New Roman" w:hAnsi="Times New Roman" w:cs="Times New Roman"/>
                <w:kern w:val="0"/>
                <w:lang w:val="en-AU"/>
                <w14:ligatures w14:val="none"/>
              </w:rPr>
              <w:t xml:space="preserve"> advertised vacancies.</w:t>
            </w:r>
          </w:p>
        </w:tc>
      </w:tr>
      <w:tr w:rsidR="009B2D49" w:rsidRPr="009B2D49" w14:paraId="50FDF7AD" w14:textId="77777777">
        <w:trPr>
          <w:tblCellSpacing w:w="15" w:type="dxa"/>
        </w:trPr>
        <w:tc>
          <w:tcPr>
            <w:tcW w:w="0" w:type="auto"/>
            <w:vAlign w:val="center"/>
            <w:hideMark/>
          </w:tcPr>
          <w:p w14:paraId="03CAFF6B"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09 — July/August comparison</w:t>
            </w:r>
          </w:p>
        </w:tc>
        <w:tc>
          <w:tcPr>
            <w:tcW w:w="0" w:type="auto"/>
            <w:vAlign w:val="center"/>
            <w:hideMark/>
          </w:tcPr>
          <w:p w14:paraId="1DB55802" w14:textId="77777777" w:rsidR="009B2D49" w:rsidRPr="009B2D49" w:rsidRDefault="009B2D49" w:rsidP="009B2D49">
            <w:pPr>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Presents the supported </w:t>
            </w:r>
            <w:r w:rsidRPr="009B2D49">
              <w:rPr>
                <w:rFonts w:ascii="Times New Roman" w:eastAsia="Times New Roman" w:hAnsi="Times New Roman" w:cs="Times New Roman"/>
                <w:b/>
                <w:bCs/>
                <w:kern w:val="0"/>
                <w:lang w:val="en-AU"/>
                <w14:ligatures w14:val="none"/>
              </w:rPr>
              <w:t>citywide</w:t>
            </w:r>
            <w:r w:rsidRPr="009B2D49">
              <w:rPr>
                <w:rFonts w:ascii="Times New Roman" w:eastAsia="Times New Roman" w:hAnsi="Times New Roman" w:cs="Times New Roman"/>
                <w:kern w:val="0"/>
                <w:lang w:val="en-AU"/>
                <w14:ligatures w14:val="none"/>
              </w:rPr>
              <w:t xml:space="preserve"> comparison without assigning the city rent to individual suburbs.</w:t>
            </w:r>
          </w:p>
        </w:tc>
      </w:tr>
    </w:tbl>
    <w:p w14:paraId="3A139578"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How the missing months affect the conclusions</w:t>
      </w:r>
    </w:p>
    <w:p w14:paraId="1C59EC78"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There are two separate limitations:</w:t>
      </w:r>
    </w:p>
    <w:p w14:paraId="40D18332" w14:textId="77777777" w:rsidR="009B2D49" w:rsidRPr="009B2D49" w:rsidRDefault="009B2D49" w:rsidP="009B2D49">
      <w:pPr>
        <w:numPr>
          <w:ilvl w:val="0"/>
          <w:numId w:val="2"/>
        </w:num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December–February:</w:t>
      </w:r>
      <w:r w:rsidRPr="009B2D49">
        <w:rPr>
          <w:rFonts w:ascii="Times New Roman" w:eastAsia="Times New Roman" w:hAnsi="Times New Roman" w:cs="Times New Roman"/>
          <w:kern w:val="0"/>
          <w:lang w:val="en-AU"/>
          <w14:ligatures w14:val="none"/>
        </w:rPr>
        <w:t xml:space="preserve"> Airbnb prices are absent from the summary, detailed and checked calendar files. Listing counts and geographic analysis remain usable, but Airbnb medians and price gaps cannot be calculated. We cannot reliably describe summer seasonality or calculate a complete-period price average.</w:t>
      </w:r>
    </w:p>
    <w:p w14:paraId="40A2F991" w14:textId="77777777" w:rsidR="009B2D49" w:rsidRPr="009B2D49" w:rsidRDefault="009B2D49" w:rsidP="009B2D49">
      <w:pPr>
        <w:numPr>
          <w:ilvl w:val="0"/>
          <w:numId w:val="2"/>
        </w:num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b/>
          <w:bCs/>
          <w:kern w:val="0"/>
          <w:lang w:val="en-AU"/>
          <w14:ligatures w14:val="none"/>
        </w:rPr>
        <w:t>July–August:</w:t>
      </w:r>
      <w:r w:rsidRPr="009B2D49">
        <w:rPr>
          <w:rFonts w:ascii="Times New Roman" w:eastAsia="Times New Roman" w:hAnsi="Times New Roman" w:cs="Times New Roman"/>
          <w:kern w:val="0"/>
          <w:lang w:val="en-AU"/>
          <w14:ligatures w14:val="none"/>
        </w:rPr>
        <w:t xml:space="preserve"> Airbnb prices and monthly citywide tenancy medians are available, but the retrieved suburb tenancy release lacks the corresponding quarter. Therefore, citywide comparisons work while suburb rents, local gaps and local gap rankings remain blank.</w:t>
      </w:r>
    </w:p>
    <w:p w14:paraId="474D18CD" w14:textId="77777777" w:rsidR="009B2D49" w:rsidRPr="009B2D49" w:rsidRDefault="009B2D49" w:rsidP="009B2D49">
      <w:pPr>
        <w:spacing w:before="100" w:beforeAutospacing="1" w:after="100" w:afterAutospacing="1"/>
        <w:contextualSpacing w:val="0"/>
        <w:mirrorIndents w:val="0"/>
        <w:rPr>
          <w:rFonts w:ascii="Times New Roman" w:eastAsia="Times New Roman" w:hAnsi="Times New Roman" w:cs="Times New Roman"/>
          <w:kern w:val="0"/>
          <w:lang w:val="en-AU"/>
          <w14:ligatures w14:val="none"/>
        </w:rPr>
      </w:pPr>
      <w:r w:rsidRPr="009B2D49">
        <w:rPr>
          <w:rFonts w:ascii="Times New Roman" w:eastAsia="Times New Roman" w:hAnsi="Times New Roman" w:cs="Times New Roman"/>
          <w:kern w:val="0"/>
          <w:lang w:val="en-AU"/>
          <w14:ligatures w14:val="none"/>
        </w:rPr>
        <w:t xml:space="preserve">Overall, </w:t>
      </w:r>
      <w:r w:rsidRPr="009B2D49">
        <w:rPr>
          <w:rFonts w:ascii="Times New Roman" w:eastAsia="Times New Roman" w:hAnsi="Times New Roman" w:cs="Times New Roman"/>
          <w:b/>
          <w:bCs/>
          <w:kern w:val="0"/>
          <w:lang w:val="en-AU"/>
          <w14:ligatures w14:val="none"/>
        </w:rPr>
        <w:t>eight of the eleven months support citywide price comparisons, and six support matched suburb price-gap comparisons</w:t>
      </w:r>
      <w:r w:rsidRPr="009B2D49">
        <w:rPr>
          <w:rFonts w:ascii="Times New Roman" w:eastAsia="Times New Roman" w:hAnsi="Times New Roman" w:cs="Times New Roman"/>
          <w:kern w:val="0"/>
          <w:lang w:val="en-AU"/>
          <w14:ligatures w14:val="none"/>
        </w:rPr>
        <w:t>. The strongest findings concern observed asking-price differences, listing growth and spatial variation; the data do not establish that Airbnb caused Christchurch’s long-term rents to change.</w:t>
      </w:r>
    </w:p>
    <w:p w14:paraId="2F31E050" w14:textId="77777777" w:rsidR="001F3D07" w:rsidRPr="009B2D49" w:rsidRDefault="001F3D07">
      <w:pPr>
        <w:rPr>
          <w:lang w:val="en-AU"/>
        </w:rPr>
      </w:pPr>
    </w:p>
    <w:sectPr w:rsidR="001F3D07" w:rsidRPr="009B2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angSong">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EB77F5"/>
    <w:multiLevelType w:val="multilevel"/>
    <w:tmpl w:val="C7B02374"/>
    <w:lvl w:ilvl="0">
      <w:start w:val="1"/>
      <w:numFmt w:val="bullet"/>
      <w:pStyle w:val="Subtitle"/>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D445D"/>
    <w:multiLevelType w:val="multilevel"/>
    <w:tmpl w:val="BD6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90218">
    <w:abstractNumId w:val="0"/>
  </w:num>
  <w:num w:numId="2" w16cid:durableId="11509016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D49"/>
    <w:rsid w:val="000F0D0C"/>
    <w:rsid w:val="001903FD"/>
    <w:rsid w:val="001F3D07"/>
    <w:rsid w:val="00575FC4"/>
    <w:rsid w:val="0058421A"/>
    <w:rsid w:val="006748E7"/>
    <w:rsid w:val="00715234"/>
    <w:rsid w:val="008C3B0E"/>
    <w:rsid w:val="008E5070"/>
    <w:rsid w:val="009B2D49"/>
    <w:rsid w:val="00A4495E"/>
    <w:rsid w:val="00BB0773"/>
    <w:rsid w:val="00D007FE"/>
    <w:rsid w:val="00E7228B"/>
    <w:rsid w:val="00EC6720"/>
    <w:rsid w:val="00EF67B6"/>
    <w:rsid w:val="00FD1BC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AD39AB"/>
  <w15:chartTrackingRefBased/>
  <w15:docId w15:val="{7E083ADB-B8E3-704A-B733-7A1BB1AA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FangSong"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8B"/>
    <w:pPr>
      <w:spacing w:after="0" w:line="240" w:lineRule="auto"/>
      <w:contextualSpacing/>
      <w:mirrorIndents/>
    </w:pPr>
    <w:rPr>
      <w:rFonts w:ascii="FangSong" w:hAnsi="FangSong"/>
      <w:lang w:val="en-US"/>
    </w:rPr>
  </w:style>
  <w:style w:type="paragraph" w:styleId="Heading1">
    <w:name w:val="heading 1"/>
    <w:basedOn w:val="Normal"/>
    <w:next w:val="Normal"/>
    <w:link w:val="Heading1Char"/>
    <w:uiPriority w:val="9"/>
    <w:qFormat/>
    <w:rsid w:val="009B2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D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D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2D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2D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2D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2D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2D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Keypoint"/>
    <w:basedOn w:val="Subtitle"/>
    <w:autoRedefine/>
    <w:uiPriority w:val="1"/>
    <w:qFormat/>
    <w:rsid w:val="00EF67B6"/>
    <w:pPr>
      <w:jc w:val="both"/>
    </w:pPr>
    <w:rPr>
      <w:rFonts w:ascii="Cambria" w:eastAsia="Times New Roman" w:hAnsi="Cambria" w:cs="Times New Roman"/>
      <w:color w:val="auto"/>
      <w:spacing w:val="0"/>
      <w:kern w:val="0"/>
      <w:sz w:val="24"/>
      <w:szCs w:val="24"/>
      <w:lang w:val="en-AU"/>
      <w14:ligatures w14:val="none"/>
    </w:rPr>
  </w:style>
  <w:style w:type="paragraph" w:styleId="Subtitle">
    <w:name w:val="Subtitle"/>
    <w:basedOn w:val="Normal"/>
    <w:next w:val="Normal"/>
    <w:link w:val="SubtitleChar"/>
    <w:uiPriority w:val="11"/>
    <w:qFormat/>
    <w:rsid w:val="00EF67B6"/>
    <w:pPr>
      <w:numPr>
        <w:numId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B6"/>
    <w:rPr>
      <w:rFonts w:eastAsiaTheme="majorEastAsia" w:cstheme="majorBidi"/>
      <w:color w:val="595959" w:themeColor="text1" w:themeTint="A6"/>
      <w:spacing w:val="15"/>
      <w:sz w:val="28"/>
      <w:szCs w:val="28"/>
      <w:lang w:val="en-US"/>
    </w:rPr>
  </w:style>
  <w:style w:type="paragraph" w:customStyle="1" w:styleId="Table">
    <w:name w:val="Table"/>
    <w:basedOn w:val="TableofAuthorities"/>
    <w:autoRedefine/>
    <w:qFormat/>
    <w:rsid w:val="00E7228B"/>
    <w:pPr>
      <w:jc w:val="both"/>
    </w:pPr>
    <w:rPr>
      <w:rFonts w:ascii="Cambria" w:hAnsi="Cambria"/>
      <w:bCs/>
      <w:sz w:val="20"/>
    </w:rPr>
  </w:style>
  <w:style w:type="paragraph" w:styleId="TableofAuthorities">
    <w:name w:val="table of authorities"/>
    <w:basedOn w:val="Normal"/>
    <w:next w:val="Normal"/>
    <w:uiPriority w:val="99"/>
    <w:semiHidden/>
    <w:unhideWhenUsed/>
    <w:rsid w:val="00E7228B"/>
    <w:pPr>
      <w:ind w:left="240" w:hanging="240"/>
    </w:pPr>
  </w:style>
  <w:style w:type="character" w:customStyle="1" w:styleId="Heading1Char">
    <w:name w:val="Heading 1 Char"/>
    <w:basedOn w:val="DefaultParagraphFont"/>
    <w:link w:val="Heading1"/>
    <w:uiPriority w:val="9"/>
    <w:rsid w:val="009B2D4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B2D4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B2D4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B2D4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B2D4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B2D4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B2D4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B2D4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B2D4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B2D49"/>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D49"/>
    <w:rPr>
      <w:rFonts w:asciiTheme="majorHAnsi" w:eastAsiaTheme="majorEastAsia" w:hAnsiTheme="majorHAnsi" w:cstheme="majorBidi"/>
      <w:spacing w:val="-10"/>
      <w:kern w:val="28"/>
      <w:sz w:val="56"/>
      <w:szCs w:val="56"/>
      <w:lang w:val="en-US"/>
    </w:rPr>
  </w:style>
  <w:style w:type="paragraph" w:styleId="Quote">
    <w:name w:val="Quote"/>
    <w:basedOn w:val="Normal"/>
    <w:next w:val="Normal"/>
    <w:link w:val="QuoteChar"/>
    <w:uiPriority w:val="29"/>
    <w:qFormat/>
    <w:rsid w:val="009B2D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2D49"/>
    <w:rPr>
      <w:rFonts w:ascii="FangSong" w:hAnsi="FangSong"/>
      <w:i/>
      <w:iCs/>
      <w:color w:val="404040" w:themeColor="text1" w:themeTint="BF"/>
      <w:lang w:val="en-US"/>
    </w:rPr>
  </w:style>
  <w:style w:type="paragraph" w:styleId="ListParagraph">
    <w:name w:val="List Paragraph"/>
    <w:basedOn w:val="Normal"/>
    <w:uiPriority w:val="34"/>
    <w:qFormat/>
    <w:rsid w:val="009B2D49"/>
    <w:pPr>
      <w:ind w:left="720"/>
    </w:pPr>
  </w:style>
  <w:style w:type="character" w:styleId="IntenseEmphasis">
    <w:name w:val="Intense Emphasis"/>
    <w:basedOn w:val="DefaultParagraphFont"/>
    <w:uiPriority w:val="21"/>
    <w:qFormat/>
    <w:rsid w:val="009B2D49"/>
    <w:rPr>
      <w:i/>
      <w:iCs/>
      <w:color w:val="0F4761" w:themeColor="accent1" w:themeShade="BF"/>
    </w:rPr>
  </w:style>
  <w:style w:type="paragraph" w:styleId="IntenseQuote">
    <w:name w:val="Intense Quote"/>
    <w:basedOn w:val="Normal"/>
    <w:next w:val="Normal"/>
    <w:link w:val="IntenseQuoteChar"/>
    <w:uiPriority w:val="30"/>
    <w:qFormat/>
    <w:rsid w:val="009B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D49"/>
    <w:rPr>
      <w:rFonts w:ascii="FangSong" w:hAnsi="FangSong"/>
      <w:i/>
      <w:iCs/>
      <w:color w:val="0F4761" w:themeColor="accent1" w:themeShade="BF"/>
      <w:lang w:val="en-US"/>
    </w:rPr>
  </w:style>
  <w:style w:type="character" w:styleId="IntenseReference">
    <w:name w:val="Intense Reference"/>
    <w:basedOn w:val="DefaultParagraphFont"/>
    <w:uiPriority w:val="32"/>
    <w:qFormat/>
    <w:rsid w:val="009B2D49"/>
    <w:rPr>
      <w:b/>
      <w:bCs/>
      <w:smallCaps/>
      <w:color w:val="0F4761" w:themeColor="accent1" w:themeShade="BF"/>
      <w:spacing w:val="5"/>
    </w:rPr>
  </w:style>
  <w:style w:type="paragraph" w:styleId="NormalWeb">
    <w:name w:val="Normal (Web)"/>
    <w:basedOn w:val="Normal"/>
    <w:uiPriority w:val="99"/>
    <w:semiHidden/>
    <w:unhideWhenUsed/>
    <w:rsid w:val="009B2D49"/>
    <w:pPr>
      <w:spacing w:before="100" w:beforeAutospacing="1" w:after="100" w:afterAutospacing="1"/>
      <w:contextualSpacing w:val="0"/>
      <w:mirrorIndents w:val="0"/>
    </w:pPr>
    <w:rPr>
      <w:rFonts w:ascii="Times New Roman" w:eastAsia="Times New Roman" w:hAnsi="Times New Roman" w:cs="Times New Roman"/>
      <w:kern w:val="0"/>
      <w:lang w:val="en-AU"/>
      <w14:ligatures w14:val="none"/>
    </w:rPr>
  </w:style>
  <w:style w:type="character" w:styleId="Strong">
    <w:name w:val="Strong"/>
    <w:basedOn w:val="DefaultParagraphFont"/>
    <w:uiPriority w:val="22"/>
    <w:qFormat/>
    <w:rsid w:val="009B2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W</dc:creator>
  <cp:keywords/>
  <dc:description/>
  <cp:lastModifiedBy>Archie W</cp:lastModifiedBy>
  <cp:revision>1</cp:revision>
  <dcterms:created xsi:type="dcterms:W3CDTF">2026-10-15T04:19:00Z</dcterms:created>
  <dcterms:modified xsi:type="dcterms:W3CDTF">2026-10-15T04:20:00Z</dcterms:modified>
</cp:coreProperties>
</file>