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u w:val="single"/>
        </w:rPr>
      </w:pPr>
      <w:r w:rsidDel="00000000" w:rsidR="00000000" w:rsidRPr="00000000">
        <w:rPr>
          <w:u w:val="single"/>
          <w:rtl w:val="0"/>
        </w:rPr>
        <w:t xml:space="preserve">Ejercicio 5:</w:t>
      </w:r>
    </w:p>
    <w:p w:rsidR="00000000" w:rsidDel="00000000" w:rsidP="00000000" w:rsidRDefault="00000000" w:rsidRPr="00000000" w14:paraId="00000004">
      <w:pPr>
        <w:rPr>
          <w:u w:val="single"/>
        </w:rPr>
      </w:pPr>
      <w:r w:rsidDel="00000000" w:rsidR="00000000" w:rsidRPr="00000000">
        <w:rPr>
          <w:rtl w:val="0"/>
        </w:rPr>
      </w:r>
    </w:p>
    <w:p w:rsidR="00000000" w:rsidDel="00000000" w:rsidP="00000000" w:rsidRDefault="00000000" w:rsidRPr="00000000" w14:paraId="00000005">
      <w:pPr>
        <w:rPr>
          <w:u w:val="single"/>
        </w:rPr>
      </w:pPr>
      <w:r w:rsidDel="00000000" w:rsidR="00000000" w:rsidRPr="00000000">
        <w:rPr>
          <w:u w:val="single"/>
        </w:rPr>
        <w:drawing>
          <wp:inline distB="0" distT="0" distL="0" distR="0">
            <wp:extent cx="5610225" cy="2466975"/>
            <wp:effectExtent b="0" l="0" r="0" t="0"/>
            <wp:docPr id="20511798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10225"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Finalizadas las tareas de conexión de ambientes de desarrollo, se requiere adquirir un nuevo ambiente que llamaremos UAT, este nuevo ambiente debe encontrarse conectado tanto al ambiente SIT como al ambiente de producción.</w:t>
      </w:r>
    </w:p>
    <w:p w:rsidR="00000000" w:rsidDel="00000000" w:rsidP="00000000" w:rsidRDefault="00000000" w:rsidRPr="00000000" w14:paraId="00000008">
      <w:pPr>
        <w:rPr/>
      </w:pPr>
      <w:r w:rsidDel="00000000" w:rsidR="00000000" w:rsidRPr="00000000">
        <w:rPr>
          <w:rtl w:val="0"/>
        </w:rPr>
        <w:t xml:space="preserve">Los usuarios que deben tener acceso al mismo son usuarios de Testting designados por el gerente del área, así como usuarios de SI, usuarios funcionales y administrativos y usuarios tercerizados contratados para modificar los procesos actuales.</w:t>
      </w:r>
    </w:p>
    <w:p w:rsidR="00000000" w:rsidDel="00000000" w:rsidP="00000000" w:rsidRDefault="00000000" w:rsidRPr="00000000" w14:paraId="00000009">
      <w:pPr>
        <w:rPr/>
      </w:pPr>
      <w:r w:rsidDel="00000000" w:rsidR="00000000" w:rsidRPr="00000000">
        <w:rPr>
          <w:rtl w:val="0"/>
        </w:rPr>
        <w:t xml:space="preserve">Dicho ambiente debe ser asegurado y reasegurado.</w:t>
      </w:r>
    </w:p>
    <w:p w:rsidR="00000000" w:rsidDel="00000000" w:rsidP="00000000" w:rsidRDefault="00000000" w:rsidRPr="00000000" w14:paraId="0000000A">
      <w:pPr>
        <w:rPr/>
      </w:pPr>
      <w:r w:rsidDel="00000000" w:rsidR="00000000" w:rsidRPr="00000000">
        <w:rPr>
          <w:rtl w:val="0"/>
        </w:rPr>
        <w:t xml:space="preserve">Este ambiente debe contar con el mismo nivel de integración que producción, para lo cual se realizó un relevamiento para no obviar ninguna, dicho relevamiento sumo a la integración de sit .</w:t>
      </w:r>
    </w:p>
    <w:p w:rsidR="00000000" w:rsidDel="00000000" w:rsidP="00000000" w:rsidRDefault="00000000" w:rsidRPr="00000000" w14:paraId="0000000B">
      <w:pPr>
        <w:rPr/>
      </w:pPr>
      <w:r w:rsidDel="00000000" w:rsidR="00000000" w:rsidRPr="00000000">
        <w:rPr>
          <w:rtl w:val="0"/>
        </w:rPr>
        <w:t xml:space="preserve">Conexiones:</w:t>
      </w:r>
    </w:p>
    <w:p w:rsidR="00000000" w:rsidDel="00000000" w:rsidP="00000000" w:rsidRDefault="00000000" w:rsidRPr="00000000" w14:paraId="0000000C">
      <w:pPr>
        <w:rPr/>
      </w:pPr>
      <w:r w:rsidDel="00000000" w:rsidR="00000000" w:rsidRPr="00000000">
        <w:rPr>
          <w:rtl w:val="0"/>
        </w:rPr>
        <w:t xml:space="preserve">Modulo pagos. —-------------------------</w:t>
      </w:r>
    </w:p>
    <w:p w:rsidR="00000000" w:rsidDel="00000000" w:rsidP="00000000" w:rsidRDefault="00000000" w:rsidRPr="00000000" w14:paraId="0000000D">
      <w:pPr>
        <w:rPr/>
      </w:pPr>
      <w:r w:rsidDel="00000000" w:rsidR="00000000" w:rsidRPr="00000000">
        <w:rPr>
          <w:rtl w:val="0"/>
        </w:rPr>
        <w:t xml:space="preserve">Modulo contable MDW—-------------------------</w:t>
      </w:r>
    </w:p>
    <w:p w:rsidR="00000000" w:rsidDel="00000000" w:rsidP="00000000" w:rsidRDefault="00000000" w:rsidRPr="00000000" w14:paraId="0000000E">
      <w:pPr>
        <w:rPr/>
      </w:pPr>
      <w:r w:rsidDel="00000000" w:rsidR="00000000" w:rsidRPr="00000000">
        <w:rPr>
          <w:rtl w:val="0"/>
        </w:rPr>
        <w:t xml:space="preserve">Servicio de envío de facturas.—-------------------------</w:t>
      </w:r>
    </w:p>
    <w:p w:rsidR="00000000" w:rsidDel="00000000" w:rsidP="00000000" w:rsidRDefault="00000000" w:rsidRPr="00000000" w14:paraId="0000000F">
      <w:pPr>
        <w:rPr/>
      </w:pPr>
      <w:r w:rsidDel="00000000" w:rsidR="00000000" w:rsidRPr="00000000">
        <w:rPr>
          <w:rtl w:val="0"/>
        </w:rPr>
        <w:t xml:space="preserve">Validador de clientes. MDW</w:t>
      </w:r>
    </w:p>
    <w:p w:rsidR="00000000" w:rsidDel="00000000" w:rsidP="00000000" w:rsidRDefault="00000000" w:rsidRPr="00000000" w14:paraId="00000010">
      <w:pPr>
        <w:rPr/>
      </w:pPr>
      <w:r w:rsidDel="00000000" w:rsidR="00000000" w:rsidRPr="00000000">
        <w:rPr>
          <w:rtl w:val="0"/>
        </w:rPr>
        <w:t xml:space="preserve">Inventario.—-------------------------</w:t>
      </w:r>
    </w:p>
    <w:p w:rsidR="00000000" w:rsidDel="00000000" w:rsidP="00000000" w:rsidRDefault="00000000" w:rsidRPr="00000000" w14:paraId="00000011">
      <w:pPr>
        <w:rPr/>
      </w:pPr>
      <w:r w:rsidDel="00000000" w:rsidR="00000000" w:rsidRPr="00000000">
        <w:rPr>
          <w:rtl w:val="0"/>
        </w:rPr>
        <w:t xml:space="preserve">Materiales.—-------------------------</w:t>
      </w:r>
    </w:p>
    <w:p w:rsidR="00000000" w:rsidDel="00000000" w:rsidP="00000000" w:rsidRDefault="00000000" w:rsidRPr="00000000" w14:paraId="00000012">
      <w:pPr>
        <w:rPr/>
      </w:pPr>
      <w:r w:rsidDel="00000000" w:rsidR="00000000" w:rsidRPr="00000000">
        <w:rPr>
          <w:rtl w:val="0"/>
        </w:rPr>
        <w:t xml:space="preserve">Modulo RRHH.—-------------------------</w:t>
      </w:r>
    </w:p>
    <w:p w:rsidR="00000000" w:rsidDel="00000000" w:rsidP="00000000" w:rsidRDefault="00000000" w:rsidRPr="00000000" w14:paraId="00000013">
      <w:pPr>
        <w:rPr/>
      </w:pPr>
      <w:r w:rsidDel="00000000" w:rsidR="00000000" w:rsidRPr="00000000">
        <w:rPr>
          <w:rtl w:val="0"/>
        </w:rPr>
        <w:t xml:space="preserve">Servicio técnico. MDW—-------------------------</w:t>
      </w:r>
    </w:p>
    <w:p w:rsidR="00000000" w:rsidDel="00000000" w:rsidP="00000000" w:rsidRDefault="00000000" w:rsidRPr="00000000" w14:paraId="00000014">
      <w:pPr>
        <w:rPr/>
      </w:pPr>
      <w:r w:rsidDel="00000000" w:rsidR="00000000" w:rsidRPr="00000000">
        <w:rPr>
          <w:rtl w:val="0"/>
        </w:rPr>
        <w:t xml:space="preserve">Autenticación. MDW —-------------------------</w:t>
      </w:r>
    </w:p>
    <w:p w:rsidR="00000000" w:rsidDel="00000000" w:rsidP="00000000" w:rsidRDefault="00000000" w:rsidRPr="00000000" w14:paraId="00000015">
      <w:pPr>
        <w:rPr/>
      </w:pPr>
      <w:r w:rsidDel="00000000" w:rsidR="00000000" w:rsidRPr="00000000">
        <w:rPr>
          <w:rtl w:val="0"/>
        </w:rPr>
        <w:t xml:space="preserve">Modulo impuestos. MDW</w:t>
      </w:r>
    </w:p>
    <w:p w:rsidR="00000000" w:rsidDel="00000000" w:rsidP="00000000" w:rsidRDefault="00000000" w:rsidRPr="00000000" w14:paraId="00000016">
      <w:pPr>
        <w:rPr/>
      </w:pPr>
      <w:r w:rsidDel="00000000" w:rsidR="00000000" w:rsidRPr="00000000">
        <w:rPr>
          <w:rtl w:val="0"/>
        </w:rPr>
        <w:t xml:space="preserve">Estos módulos deben conectarse a través del servidor de MDW</w:t>
      </w:r>
    </w:p>
    <w:p w:rsidR="00000000" w:rsidDel="00000000" w:rsidP="00000000" w:rsidRDefault="00000000" w:rsidRPr="00000000" w14:paraId="00000017">
      <w:pPr>
        <w:rPr/>
      </w:pPr>
      <w:r w:rsidDel="00000000" w:rsidR="00000000" w:rsidRPr="00000000">
        <w:rPr>
          <w:rtl w:val="0"/>
        </w:rPr>
        <w:t xml:space="preserve">Se deberá otorgar permisos de acceso a un usuario de Cada uno de estos sistemas </w:t>
      </w:r>
    </w:p>
    <w:p w:rsidR="00000000" w:rsidDel="00000000" w:rsidP="00000000" w:rsidRDefault="00000000" w:rsidRPr="00000000" w14:paraId="00000018">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lay">
    <w:embedRegular w:fontKey="{00000000-0000-0000-0000-000000000000}" r:id="rId1" w:subsetted="0"/>
    <w:embedBold w:fontKey="{00000000-0000-0000-0000-000000000000}" r:id="rId2" w:subsetted="0"/>
  </w:font>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59"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59"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59"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59" w:lineRule="auto"/>
    </w:pPr>
    <w:rPr>
      <w:rFonts w:ascii="Aptos" w:cs="Aptos" w:eastAsia="Aptos" w:hAnsi="Aptos"/>
      <w:i w:val="1"/>
      <w:color w:val="0f4761"/>
    </w:rPr>
  </w:style>
  <w:style w:type="paragraph" w:styleId="Heading5">
    <w:name w:val="heading 5"/>
    <w:basedOn w:val="Normal"/>
    <w:next w:val="Normal"/>
    <w:pPr>
      <w:keepNext w:val="1"/>
      <w:keepLines w:val="1"/>
      <w:spacing w:after="40" w:before="80" w:line="259" w:lineRule="auto"/>
    </w:pPr>
    <w:rPr>
      <w:rFonts w:ascii="Aptos" w:cs="Aptos" w:eastAsia="Aptos" w:hAnsi="Aptos"/>
      <w:color w:val="0f4761"/>
    </w:rPr>
  </w:style>
  <w:style w:type="paragraph" w:styleId="Heading6">
    <w:name w:val="heading 6"/>
    <w:basedOn w:val="Normal"/>
    <w:next w:val="Normal"/>
    <w:pPr>
      <w:keepNext w:val="1"/>
      <w:keepLines w:val="1"/>
      <w:spacing w:before="40" w:line="259" w:lineRule="auto"/>
    </w:pPr>
    <w:rPr>
      <w:rFonts w:ascii="Aptos" w:cs="Aptos" w:eastAsia="Aptos" w:hAnsi="Aptos"/>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611F33"/>
    <w:pPr>
      <w:keepNext w:val="1"/>
      <w:keepLines w:val="1"/>
      <w:spacing w:before="40" w:line="259" w:lineRule="auto"/>
      <w:outlineLvl w:val="6"/>
    </w:pPr>
    <w:rPr>
      <w:rFonts w:asciiTheme="minorHAnsi" w:cstheme="majorBidi" w:eastAsiaTheme="majorEastAsia" w:hAnsiTheme="minorHAnsi"/>
      <w:color w:val="595959" w:themeColor="text1" w:themeTint="0000A6"/>
      <w:kern w:val="2"/>
    </w:rPr>
  </w:style>
  <w:style w:type="paragraph" w:styleId="Ttulo8">
    <w:name w:val="heading 8"/>
    <w:basedOn w:val="Normal"/>
    <w:next w:val="Normal"/>
    <w:link w:val="Ttulo8Car"/>
    <w:uiPriority w:val="9"/>
    <w:semiHidden w:val="1"/>
    <w:unhideWhenUsed w:val="1"/>
    <w:qFormat w:val="1"/>
    <w:rsid w:val="00611F33"/>
    <w:pPr>
      <w:keepNext w:val="1"/>
      <w:keepLines w:val="1"/>
      <w:spacing w:line="259" w:lineRule="auto"/>
      <w:outlineLvl w:val="7"/>
    </w:pPr>
    <w:rPr>
      <w:rFonts w:asciiTheme="minorHAnsi" w:cstheme="majorBidi" w:eastAsiaTheme="majorEastAsia" w:hAnsiTheme="minorHAnsi"/>
      <w:i w:val="1"/>
      <w:iCs w:val="1"/>
      <w:color w:val="272727" w:themeColor="text1" w:themeTint="0000D8"/>
      <w:kern w:val="2"/>
    </w:rPr>
  </w:style>
  <w:style w:type="paragraph" w:styleId="Ttulo9">
    <w:name w:val="heading 9"/>
    <w:basedOn w:val="Normal"/>
    <w:next w:val="Normal"/>
    <w:link w:val="Ttulo9Car"/>
    <w:uiPriority w:val="9"/>
    <w:semiHidden w:val="1"/>
    <w:unhideWhenUsed w:val="1"/>
    <w:qFormat w:val="1"/>
    <w:rsid w:val="00611F33"/>
    <w:pPr>
      <w:keepNext w:val="1"/>
      <w:keepLines w:val="1"/>
      <w:spacing w:line="259" w:lineRule="auto"/>
      <w:outlineLvl w:val="8"/>
    </w:pPr>
    <w:rPr>
      <w:rFonts w:asciiTheme="minorHAnsi" w:cstheme="majorBidi" w:eastAsiaTheme="majorEastAsia" w:hAnsiTheme="minorHAnsi"/>
      <w:color w:val="272727" w:themeColor="text1" w:themeTint="0000D8"/>
      <w:kern w:val="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611F33"/>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611F33"/>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611F33"/>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611F33"/>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611F33"/>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611F33"/>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611F33"/>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611F33"/>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611F33"/>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611F33"/>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611F33"/>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611F33"/>
    <w:pPr>
      <w:spacing w:after="160" w:before="160" w:line="259" w:lineRule="auto"/>
      <w:jc w:val="center"/>
    </w:pPr>
    <w:rPr>
      <w:rFonts w:asciiTheme="minorHAnsi" w:cstheme="minorBidi" w:hAnsiTheme="minorHAnsi"/>
      <w:i w:val="1"/>
      <w:iCs w:val="1"/>
      <w:color w:val="404040" w:themeColor="text1" w:themeTint="0000BF"/>
      <w:kern w:val="2"/>
    </w:rPr>
  </w:style>
  <w:style w:type="character" w:styleId="CitaCar" w:customStyle="1">
    <w:name w:val="Cita Car"/>
    <w:basedOn w:val="Fuentedeprrafopredeter"/>
    <w:link w:val="Cita"/>
    <w:uiPriority w:val="29"/>
    <w:rsid w:val="00611F33"/>
    <w:rPr>
      <w:i w:val="1"/>
      <w:iCs w:val="1"/>
      <w:color w:val="404040" w:themeColor="text1" w:themeTint="0000BF"/>
    </w:rPr>
  </w:style>
  <w:style w:type="paragraph" w:styleId="Prrafodelista">
    <w:name w:val="List Paragraph"/>
    <w:basedOn w:val="Normal"/>
    <w:uiPriority w:val="34"/>
    <w:qFormat w:val="1"/>
    <w:rsid w:val="00611F33"/>
    <w:pPr>
      <w:spacing w:after="160" w:line="259" w:lineRule="auto"/>
      <w:ind w:left="720"/>
      <w:contextualSpacing w:val="1"/>
    </w:pPr>
    <w:rPr>
      <w:rFonts w:asciiTheme="minorHAnsi" w:cstheme="minorBidi" w:hAnsiTheme="minorHAnsi"/>
      <w:kern w:val="2"/>
    </w:rPr>
  </w:style>
  <w:style w:type="character" w:styleId="nfasisintenso">
    <w:name w:val="Intense Emphasis"/>
    <w:basedOn w:val="Fuentedeprrafopredeter"/>
    <w:uiPriority w:val="21"/>
    <w:qFormat w:val="1"/>
    <w:rsid w:val="00611F33"/>
    <w:rPr>
      <w:i w:val="1"/>
      <w:iCs w:val="1"/>
      <w:color w:val="0f4761" w:themeColor="accent1" w:themeShade="0000BF"/>
    </w:rPr>
  </w:style>
  <w:style w:type="paragraph" w:styleId="Citadestacada">
    <w:name w:val="Intense Quote"/>
    <w:basedOn w:val="Normal"/>
    <w:next w:val="Normal"/>
    <w:link w:val="CitadestacadaCar"/>
    <w:uiPriority w:val="30"/>
    <w:qFormat w:val="1"/>
    <w:rsid w:val="00611F33"/>
    <w:pPr>
      <w:pBdr>
        <w:top w:color="0f4761" w:space="10" w:sz="4" w:themeColor="accent1" w:themeShade="0000BF" w:val="single"/>
        <w:bottom w:color="0f4761" w:space="10" w:sz="4" w:themeColor="accent1" w:themeShade="0000BF" w:val="single"/>
      </w:pBdr>
      <w:spacing w:after="360" w:before="360" w:line="259" w:lineRule="auto"/>
      <w:ind w:left="864" w:right="864"/>
      <w:jc w:val="center"/>
    </w:pPr>
    <w:rPr>
      <w:rFonts w:asciiTheme="minorHAnsi" w:cstheme="minorBidi" w:hAnsiTheme="minorHAnsi"/>
      <w:i w:val="1"/>
      <w:iCs w:val="1"/>
      <w:color w:val="0f4761" w:themeColor="accent1" w:themeShade="0000BF"/>
      <w:kern w:val="2"/>
    </w:rPr>
  </w:style>
  <w:style w:type="character" w:styleId="CitadestacadaCar" w:customStyle="1">
    <w:name w:val="Cita destacada Car"/>
    <w:basedOn w:val="Fuentedeprrafopredeter"/>
    <w:link w:val="Citadestacada"/>
    <w:uiPriority w:val="30"/>
    <w:rsid w:val="00611F33"/>
    <w:rPr>
      <w:i w:val="1"/>
      <w:iCs w:val="1"/>
      <w:color w:val="0f4761" w:themeColor="accent1" w:themeShade="0000BF"/>
    </w:rPr>
  </w:style>
  <w:style w:type="character" w:styleId="Referenciaintensa">
    <w:name w:val="Intense Reference"/>
    <w:basedOn w:val="Fuentedeprrafopredeter"/>
    <w:uiPriority w:val="32"/>
    <w:qFormat w:val="1"/>
    <w:rsid w:val="00611F33"/>
    <w:rPr>
      <w:b w:val="1"/>
      <w:bCs w:val="1"/>
      <w:smallCaps w:val="1"/>
      <w:color w:val="0f4761" w:themeColor="accent1" w:themeShade="0000BF"/>
      <w:spacing w:val="5"/>
    </w:rPr>
  </w:style>
  <w:style w:type="paragraph" w:styleId="Subtitle">
    <w:name w:val="Subtitle"/>
    <w:basedOn w:val="Normal"/>
    <w:next w:val="Normal"/>
    <w:pPr>
      <w:spacing w:after="160" w:line="259"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9i+riygA7RbZLkqsxqnBBRnUSA==">CgMxLjA4AHIhMS15eThld2ZRRnlwTm9ma1otdVJwZzIxa2NrVHYxd1pl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2024-05-21T17:04:00Z</dcterms:created>
  <dc:creator>Gustavo Virtos</dc:creator>
</cp:coreProperties>
</file>