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Shifts</w:t>
      </w:r>
      <w:r>
        <w:t xml:space="preserve"> </w:t>
      </w:r>
      <w:r>
        <w:t xml:space="preserve">in</w:t>
      </w:r>
      <w:r>
        <w:t xml:space="preserve"> </w:t>
      </w:r>
      <w:r>
        <w:t xml:space="preserve">Salt</w:t>
      </w:r>
      <w:r>
        <w:t xml:space="preserve"> </w:t>
      </w:r>
      <w:r>
        <w:t xml:space="preserve">Marsh</w:t>
      </w:r>
      <w:r>
        <w:t xml:space="preserve"> </w:t>
      </w:r>
      <w:r>
        <w:t xml:space="preserve">Vegetation</w:t>
      </w:r>
      <w:r>
        <w:t xml:space="preserve"> </w:t>
      </w:r>
      <w:r>
        <w:t xml:space="preserve">Landcover</w:t>
      </w:r>
      <w:r>
        <w:t xml:space="preserve"> </w:t>
      </w:r>
      <w:r>
        <w:t xml:space="preserve">After</w:t>
      </w:r>
      <w:r>
        <w:t xml:space="preserve"> </w:t>
      </w:r>
      <w:r>
        <w:t xml:space="preserve">Debris</w:t>
      </w:r>
      <w:r>
        <w:t xml:space="preserve"> </w:t>
      </w:r>
      <w:r>
        <w:t xml:space="preserve">Flow</w:t>
      </w:r>
      <w:r>
        <w:t xml:space="preserve"> </w:t>
      </w:r>
      <w:r>
        <w:t xml:space="preserve">Deposition</w:t>
      </w:r>
    </w:p>
    <w:p>
      <w:pPr>
        <w:pStyle w:val="FirstParagraph"/>
      </w:pPr>
      <w:r>
        <w:rPr>
          <w:iCs/>
          <w:i/>
        </w:rPr>
        <w:t xml:space="preserve">Germán D. Silva</w:t>
      </w:r>
      <w:r>
        <w:rPr>
          <w:vertAlign w:val="superscript"/>
          <w:iCs/>
          <w:i/>
        </w:rPr>
        <w:t xml:space="preserve">1</w:t>
      </w:r>
      <w:r>
        <w:rPr>
          <w:iCs/>
          <w:i/>
        </w:rPr>
        <w:t xml:space="preserve">, Dar A. Roberts</w:t>
      </w:r>
      <w:r>
        <w:rPr>
          <w:vertAlign w:val="superscript"/>
          <w:iCs/>
          <w:i/>
        </w:rPr>
        <w:t xml:space="preserve">1</w:t>
      </w:r>
      <w:r>
        <w:rPr>
          <w:iCs/>
          <w:i/>
        </w:rPr>
        <w:t xml:space="preserve">, Joseph P. McFadden</w:t>
      </w:r>
      <w:r>
        <w:rPr>
          <w:vertAlign w:val="superscript"/>
          <w:iCs/>
          <w:i/>
        </w:rPr>
        <w:t xml:space="preserve">1</w:t>
      </w:r>
      <w:r>
        <w:rPr>
          <w:iCs/>
          <w:i/>
        </w:rPr>
        <w:t xml:space="preserve">, Jennifer Y. King</w:t>
      </w:r>
      <w:r>
        <w:rPr>
          <w:vertAlign w:val="superscript"/>
          <w:iCs/>
          <w:i/>
        </w:rPr>
        <w:t xml:space="preserve">1</w:t>
      </w:r>
    </w:p>
    <w:p>
      <w:pPr>
        <w:pStyle w:val="BodyText"/>
      </w:pPr>
      <w:r>
        <w:rPr>
          <w:vertAlign w:val="superscript"/>
        </w:rPr>
        <w:t xml:space="preserve">1</w:t>
      </w:r>
      <w:r>
        <w:rPr>
          <w:iCs/>
          <w:i/>
        </w:rPr>
        <w:t xml:space="preserve">Department of Geography, University of California, Santa Barbara, 93106-4060 Santa Barbara, CA, USA</w:t>
      </w:r>
      <w:r>
        <w:t xml:space="preserve">”</w:t>
      </w:r>
    </w:p>
    <w:p>
      <w:pPr>
        <w:pStyle w:val="BodyText"/>
      </w:pPr>
      <w:r>
        <w:rPr>
          <w:bCs/>
          <w:b/>
        </w:rPr>
        <w:t xml:space="preserve">Key Words:</w:t>
      </w:r>
      <w:r>
        <w:t xml:space="preserve"> </w:t>
      </w:r>
      <w:r>
        <w:t xml:space="preserve">Remote Sensing, Wetland Change, Change Detection, Random Forest Classifier,</w:t>
      </w:r>
      <w:r>
        <w:t xml:space="preserve"> </w:t>
      </w:r>
      <w:r>
        <w:rPr>
          <w:iCs/>
          <w:i/>
        </w:rPr>
        <w:t xml:space="preserve">Salicornia pacifica</w:t>
      </w:r>
    </w:p>
    <w:p>
      <w:pPr>
        <w:pStyle w:val="BodyText"/>
      </w:pPr>
      <w:r>
        <w:rPr>
          <w:bCs/>
          <w:b/>
        </w:rPr>
        <w:t xml:space="preserve">Abstract</w:t>
      </w:r>
    </w:p>
    <w:p>
      <w:pPr>
        <w:pStyle w:val="BodyText"/>
      </w:pPr>
      <w:r>
        <w:t xml:space="preserve">Debris flows in Montecito, California on 9 January 2018 deposited sediment along much of the Santa Barbara coast, including in the Carpinteria Salt Marsh Reserve, a long-term ecological monitoring reserve. Because disturbances have the potential to impact the ecosystem services and functions that wetlands provide, an understanding of how the ecosystem responded to the debris flows is important for the management of salt marsh systems. However, a lack of field data before and after this disturbance makes this task impossible to complete by field methods alone. To address this gap, we used Sentinel-2 satellite imagery to calculate landcover fractions, normalized difference vegetation index (NDVI), and modified anthocyanin reflectance index (mARI), which were used to produce maps of landcover before, during, and after the debris flow using a random forest classifier. The classified maps were then used to track changes in landcover through time. Change detection shows that vegetation extent in November 2020 is approaching pre-debris flow conditions. While total vegetated area experienced little change (0.12% increase), there was a measurable change in the areal extent of vegetation type with high marsh vegetation transitioning to mid marsh vegetation in regions that initially showed an increase in bare soil cover following the debris flows. These results are uniquely quantifiable using remote sensing techniques and show that disturbance due to debris flows may affect ecosystem function, including decreased primary productivity and decreased resilience to further disturbance. These impacts will need to be taken into consideration when managing wetlands prone to depositional events.</w:t>
      </w:r>
    </w:p>
    <w:p>
      <w:pPr>
        <w:pStyle w:val="BodyText"/>
      </w:pPr>
      <w:r>
        <w:rPr>
          <w:bCs/>
          <w:b/>
        </w:rPr>
        <w:t xml:space="preserve">Introduction</w:t>
      </w:r>
    </w:p>
    <w:p>
      <w:pPr>
        <w:pStyle w:val="BodyText"/>
      </w:pPr>
      <w:r>
        <w:t xml:space="preserve">In December 2017, the Thomas Fire burned an area of 1140 km</w:t>
      </w:r>
      <w:r>
        <w:rPr>
          <w:vertAlign w:val="superscript"/>
        </w:rPr>
        <w:t xml:space="preserve">2</w:t>
      </w:r>
      <w:r>
        <w:t xml:space="preserve"> </w:t>
      </w:r>
      <w:r>
        <w:t xml:space="preserve">in the Santa Ynez Mountains, making it the largest fire in California’s history at the time (Andone 2018; Kean</w:t>
      </w:r>
      <w:r>
        <w:t xml:space="preserve"> </w:t>
      </w:r>
      <w:r>
        <w:rPr>
          <w:iCs/>
          <w:i/>
        </w:rPr>
        <w:t xml:space="preserve">et al.</w:t>
      </w:r>
      <w:r>
        <w:t xml:space="preserve"> </w:t>
      </w:r>
      <w:r>
        <w:t xml:space="preserve">2019). Following the fire, the burned areas experienced an increased risk of debris flows; and, in early January 2018,</w:t>
      </w:r>
      <w:r>
        <w:t xml:space="preserve"> </w:t>
      </w:r>
      <w:r>
        <w:t xml:space="preserve">a heavy rain event mobilized soils from the burn area and triggered a depositional event known as the Montecito Debris Flows (Kean</w:t>
      </w:r>
      <w:r>
        <w:t xml:space="preserve"> </w:t>
      </w:r>
      <w:r>
        <w:rPr>
          <w:iCs/>
          <w:i/>
        </w:rPr>
        <w:t xml:space="preserve">et al.</w:t>
      </w:r>
      <w:r>
        <w:t xml:space="preserve"> </w:t>
      </w:r>
      <w:r>
        <w:t xml:space="preserve">2019). The debris flows deposited approximately 680,000 m</w:t>
      </w:r>
      <w:r>
        <w:rPr>
          <w:vertAlign w:val="superscript"/>
        </w:rPr>
        <w:t xml:space="preserve">3</w:t>
      </w:r>
      <w:r>
        <w:t xml:space="preserve"> </w:t>
      </w:r>
      <w:r>
        <w:t xml:space="preserve">of</w:t>
      </w:r>
      <w:r>
        <w:t xml:space="preserve"> </w:t>
      </w:r>
      <w:r>
        <w:t xml:space="preserve">sediment across urban and natural areas along the Santa Barbara Coast (Kean</w:t>
      </w:r>
      <w:r>
        <w:t xml:space="preserve"> </w:t>
      </w:r>
      <w:r>
        <w:rPr>
          <w:iCs/>
          <w:i/>
        </w:rPr>
        <w:t xml:space="preserve">et al.</w:t>
      </w:r>
      <w:r>
        <w:t xml:space="preserve"> </w:t>
      </w:r>
      <w:r>
        <w:t xml:space="preserve">2019). In addition to 3 fatalities, 167 injuries, and 408 damaged homes, Carpinteria Salt Marsh Reserve, a 93ha ecological study reserve operated by the University of California, hadreceived a large deposition of sediment.</w:t>
      </w:r>
    </w:p>
    <w:p>
      <w:pPr>
        <w:pStyle w:val="BodyText"/>
      </w:pPr>
      <w:r>
        <w:t xml:space="preserve">Coastal salt marshes, such as the Carpinteria Salt Marsh, are dynamic ecosystems found at the interface between marine and terrestrial environments. These productive ecosystems play important roles in coastal resilience via a variety of ecosystem services, such as accreting sediments, sequestering carbon, and providing habitat for a rich range of biota (Gibbs 2001; Callaway</w:t>
      </w:r>
      <w:r>
        <w:t xml:space="preserve"> </w:t>
      </w:r>
      <w:r>
        <w:rPr>
          <w:iCs/>
          <w:i/>
        </w:rPr>
        <w:t xml:space="preserve">et al.</w:t>
      </w:r>
      <w:r>
        <w:t xml:space="preserve"> </w:t>
      </w:r>
      <w:r>
        <w:t xml:space="preserve">2012). However, as little as 10% of California’s historical wetland cover remains today (California Department of Fish and Wildlife 2001). This decrease in wetland cover is likely to worsen with the potential increased frequency of disturbances that further reduce and degrade wetland cover, especially sea level rise, coastal erosion, deposition, and anthropogenic marine debris (Uhrin and Schellinger 2011; Tweel and Turner 2012; Doughty and Cavanaugh 2019). As well as the increasing frequency of events related to climate change, such as fires, hurricanes, and altered hydrology, that will likely increase the potential for further debris flows (Erwin 2009). To mitigate the impacts of disturbance, management should include the effects of disturbances in the understanding of marsh form and function. For instance, sediment deposition is a common and important process in many marshes, with hurricane deposition being often studied and found to provide sediment important for nutrient delivery and the ability to offset sea level rise (Callaway et al., 2012; Tweel and Turner 2012). In contrast, anthropogenic marine debris, such as fishing gear and wooden poles, has been found to damage plant tissues in marshes (Uhrin and Schellinger 2011); and oiling has been found to temporarily increase shoreline loss of effected wetlands (Beland</w:t>
      </w:r>
      <w:r>
        <w:t xml:space="preserve"> </w:t>
      </w:r>
      <w:r>
        <w:rPr>
          <w:iCs/>
          <w:i/>
        </w:rPr>
        <w:t xml:space="preserve">et al.</w:t>
      </w:r>
      <w:r>
        <w:t xml:space="preserve"> </w:t>
      </w:r>
      <w:r>
        <w:t xml:space="preserve">2017).</w:t>
      </w:r>
    </w:p>
    <w:p>
      <w:pPr>
        <w:pStyle w:val="BodyText"/>
      </w:pPr>
      <w:r>
        <w:t xml:space="preserve">Debris flows are an episodic depositional disturbance event; however, they are not one commonly studied in wetlands. Furthermore, many studies examining disturbance events in salt marshes have focused on the Gulf of Mexico and the east coast of the U.S. (Uhrin and Schellinger 2011; Tweel and Turner 2012; Klemas 2013a; Klemas 2013b; Peterson et al., 2015; Beland et al., 2017). However, the disturbances that are common in those regions, such as hurricanes, are not common on the west coast of the U.S., and the findings may not be fully applicable to debris flows. Thus, the question of how the Montecito Debris Flows impacted the marsh is of interest. However, addressing this question with field methods is complicated by the fact that the unpredictability of the event meant that field date could not be intentionally collected prior to the event. Furthermore, a combination of manager intervention—mechanical dredging—and inundation by king tides— exceptionally high tides—removed sediment from the marsh and limited the ability to collect field data following the event. Remotely sensed data, however, were collected before and following the event and could be used to assess impacts of the debris flow on the marsh.</w:t>
      </w:r>
    </w:p>
    <w:p>
      <w:pPr>
        <w:pStyle w:val="BodyText"/>
      </w:pPr>
      <w:r>
        <w:t xml:space="preserve">Remote sensing has been used for change detection, biomass estimation, and land cover classification in wetlands with a large range of applications (Rosso et al., 2005; Klemas 2013a). Due to recent advances in sensor design and data analysis, remote sensing is becoming more practical for monitoring natural and anthropogenic changes in coastal systems (Klemas 2013b). Prior studies have recommended a variety of sensors (e.g., Landsat, imaging spectrometers, LiDAR, Planetscope, and drone data), techniques (e.g., maximum likelihood classification, Multiple Endmember Spectral Mixture Analysis (MESMA), reclassification, random forest, and post-classification change detection), and indices (e.g., normalized difference vegetation index) to monitor coastal wetland conditions (Eastwood et al., 1997; Parihar et al., 2012; Klemas 2013a; Peterson et al., 2015; Beland et al., 2017; Doughty and Cavanaugh 2019; Miller et al., 2019; Nasser Mohamed Eid et al., 2020; Wu et al., 2020). Sensor and spectral vegetation index recommendations vary depending on the wetland type and the characteristics that are being assessed. Index recommendations are more dependent on the type of wetland being assessed. For example, one study recommended the use of the modified soil adjusted vegetation index (MSAVI) and global environmental monitoring index (GEMI) for intertidal marshes (Eastwood et al., 1997). However, another study recommended the normalized difference vegetation index (NDVI) and the green normalized difference vegetation index (GNDVI) for global wetland assessment and two others indicies for woody forested wetlands specifically (Taddeo et al., 2019).</w:t>
      </w:r>
    </w:p>
    <w:p>
      <w:pPr>
        <w:pStyle w:val="BodyText"/>
      </w:pPr>
      <w:r>
        <w:t xml:space="preserve">Several approaches have been used to classify land cover in wetlands. One study implemented the use of fractional cover of different endmembers obtained by spectral mixture analysis (SMA) and MESMA (Roberts et al., 1998) in the classification of a marsh in the southern San Francisco Bay (Rosso et al., 2005). While both approaches have challenges, MESMA was found to provide a more accurate representation of fractional cover, especially if 4- or 5-endmember models were used with more than one endmember per class (Rosso et al., 2005). Peterson et al., (2015) used MESMA on airborne visual/infra-red imaging spectrometer (AVIRIS) data to detect oil-impacted regions of coastal salt marsh with high accuracy (87.5% to 93.3%). Beland et al., (2017) were then able to use these oil maps and image change analysis to determine that oiling temporarily accelerated land loss in coastal marshes. These studies highlight the effectiveness of MESMA as a technique for classifying wetland landcover and detecting areas affected by disturbance.</w:t>
      </w:r>
    </w:p>
    <w:p>
      <w:pPr>
        <w:pStyle w:val="BodyText"/>
      </w:pPr>
      <w:r>
        <w:t xml:space="preserve">Other classification methods have also been used for tracking change. For example, Tuxen et al. (2008) used NDVI to track vegetation colonization in Petaluma River Marsh after tidal restoration via post-classification change detection. They concluded that NDVI can be used to discriminate vegetated and non-vegetated portions of marshes and is robust to human interpretations of NDVI (Tuxen et al., 2008). Another study used Breaks For Seasonal and Trend (BFAST) and random forest classification on monthly Landsat NDVI products to perform change detection in forested wetlands with a classification accuracy of 92.96% and change detection accuracy of 87.8% (Wu et al., 2020). Parihar et al. (2012) used maximum likelihood classification on Landsat MSS and TM data to track changes in the East Kolkata Wetlands in the absence of ground data, though accuracy of this method was between 73.80% and 79.33%. Im et al. (2008) also showed that high point density LiDAR data can be used for object-based land cover classification with high accuracies (&gt; 90%) without the need for incorporating additional remote sensing data.</w:t>
      </w:r>
    </w:p>
    <w:p>
      <w:pPr>
        <w:pStyle w:val="BodyText"/>
      </w:pPr>
      <w:r>
        <w:t xml:space="preserve">In this study, we use random forest classification and change detection to assess how the Montecito Debris Flows impacted landcover in Carpinteria Salt Marsh Reserve. Our main objectives were: 1) classification of marsh landcover before and after the debris flows, 2) identifying what change in landcover had occurred, 3) identification of important classification variables, and 4) assessing how accurately random forest classification could map marsh landcover.</w:t>
      </w:r>
    </w:p>
    <w:p>
      <w:pPr>
        <w:pStyle w:val="BodyText"/>
      </w:pPr>
      <w:r>
        <w:rPr>
          <w:bCs/>
          <w:b/>
        </w:rPr>
        <w:t xml:space="preserve">Methods</w:t>
      </w:r>
    </w:p>
    <w:p>
      <w:pPr>
        <w:pStyle w:val="BodyText"/>
      </w:pPr>
      <w:r>
        <w:t xml:space="preserve">Site Description</w:t>
      </w:r>
    </w:p>
    <w:p>
      <w:pPr>
        <w:pStyle w:val="BodyText"/>
      </w:pPr>
      <w:r>
        <w:t xml:space="preserve">Carpinteria Salt Marsh Reserve (CSMR), located in Carpinteria, CA (34.4012° N, 119.5379° W), is situated between California Highway 101, downtown Carpinteria, and the Pacific Ocean (Figure 1). The wetland is a heterogeneous landscape made up of 93 hectares of annual and perennial herbs and grasses, transitional upland habitat, water channels, and mud flats (Doughty and Cavanaugh 2019). The plant community can be split into two main categories: mid marsh, primarily dominated by Salicornia pacifica (formerly Salicornia virginica, pickleweed), and high marsh, which is a mix of Salicornia pacifica, Jaumea carnosa (marsh jaumea), Distichlis littoralis (shore grass), Arthrocnemum subterminale (Parish’s glasswort), Frankenia salina (alkali heath), and a few other less abundant species (Myers et al., 2017; Doughty and Cavanaugh 2019). Water inputs come largely from tidal inundation and from water inlets in the eastern portion of the marsh that allow for input from further inland (Andy Brooks 2019, personal communication).</w:t>
      </w:r>
    </w:p>
    <w:p>
      <w:pPr>
        <w:pStyle w:val="BodyText"/>
      </w:pPr>
      <w:r>
        <w:t xml:space="preserve">Data Description and Correction</w:t>
      </w:r>
    </w:p>
    <w:p>
      <w:pPr>
        <w:pStyle w:val="BodyText"/>
      </w:pPr>
      <w:r>
        <w:t xml:space="preserve">The imagery used in this study is Sentinel-2 A and B data produced by the European Space Agency. The mission is composed of two multispectral satellites that collect images that cover a large spatial extent, have a fine spatial resolution (up to 10m for half the electromagnetic bands they detect), and a five day revisit time using both sensors. Both satellites carry optical sensors that sample in 13 spectral bands at varying spatial resolutions (Drusch et al., 2012; European Space Agency n.d.). The high temporal resolution of the two satellites allowed us to assemble a time series for quantifying marsh change despite the variable cloud cover and inundation of the CSMR which would prevent accurate image analysis. Imagery dates were selected to represent similar times of year, tide, and cloud cover. Four dates were selected to establish pre-flow, immediate, and post-flow conditions (approximately one and three years after the initial Montecito Debris Flows). November 13, 2017 imagery was used for pre-flow conditions as it was the date closest to the debris flow in which the marsh was not flooded or covered by clouds. January 12, 2018 imagery represented the post-flow conditions as the data were collected three days after the flow occurred and before mechanical clean up and king tides occurred. Lastly, November 3, 2018 and November 12, 2020 imagery represented two recovery steps and were chosen to be consistent with the pre-flow November image. No November 2019 imagery was selected, as all available images were collected when there was either dense cloud cover or the marsh was inundated by high tide. All Sentinel-2 imagery was downloaded from the USGS Earth Explorer portal (U.S. Geological Survey).</w:t>
      </w:r>
    </w:p>
    <w:p>
      <w:pPr>
        <w:pStyle w:val="BodyText"/>
      </w:pPr>
      <w:r>
        <w:t xml:space="preserve">Imagery was preprocessed in the Sentinel Application Platform (SNAP) prior to being implemented in ENVI Classic 5.5.3 (SNAP; Harris Geospatial). First, the Sen2Cor SNAP add-on was used to perform atmospheric correction to obtain bottom of atmosphere L2A imagery from the top of atmosphere L1C imagery downloaded from the USGS (Main-Knorn et al., 2017). This process produced 12 atmospherically-corrected L2A bands. Once corrected, bands 1, 9, and 10 were removed as they are primarily used for atmospheric properties and are too coarse (60 m resolution) to be used in assessment of the fine scale change in the marsh. The remaining 20 m resolution bands (bands 5, 6, 7, 8A, 11, and 12) were then resampled using pixel replication to match the 10 m resolution of bands 2, 3, 4, and 8. Resampled and native 10 m resolution bands were layer stacked for further processing in ENVI.</w:t>
      </w:r>
    </w:p>
    <w:p>
      <w:pPr>
        <w:pStyle w:val="BodyText"/>
      </w:pPr>
      <w:r>
        <w:t xml:space="preserve">High density LiDAR was also used in addition to Sentinel-2 imagery to assess conditions immediately after the debris flows occurred (January 2018). LiDAR data were collected over the areas affected by the debris flows soon after the event by the Federal Emergency Management Agency (FEMA) at a density of at least 4 points per square meter (Federal Emergency Management Agency 2018). LiDAR data were corrected and processed using the BCAL add-on for ENVI (Harris Geospatial; Streutker and Glenn 2006). Data were height filtered at a threshold of 30 m with a 10 m search window. Height filtered data were then processed using last returns into a digital terrain model (DTM) with 10 m resolution to match Sentinel-2 data.</w:t>
      </w:r>
    </w:p>
    <w:p>
      <w:pPr>
        <w:pStyle w:val="BodyText"/>
      </w:pPr>
      <w:r>
        <w:t xml:space="preserve">Spectral Analysis</w:t>
      </w:r>
    </w:p>
    <w:p>
      <w:pPr>
        <w:pStyle w:val="BodyText"/>
      </w:pPr>
      <w:r>
        <w:t xml:space="preserve">Before classification, corrected Sentinel-2 images were processed to obtain fractional cover and to calculate the normalized difference vegetation index (NDVI) and modified anthocyanin reflectance index (mARI).</w:t>
      </w:r>
    </w:p>
    <w:p>
      <w:pPr>
        <w:pStyle w:val="BodyText"/>
      </w:pPr>
      <w:r>
        <w:drawing>
          <wp:inline>
            <wp:extent cx="4620126" cy="3696101"/>
            <wp:effectExtent b="0" l="0" r="0" t="0"/>
            <wp:docPr descr="" title="" id="1" name="Picture"/>
            <a:graphic>
              <a:graphicData uri="http://schemas.openxmlformats.org/drawingml/2006/picture">
                <pic:pic>
                  <pic:nvPicPr>
                    <pic:cNvPr descr="silva_et_al_2022_eucomare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Fractional cover was obtained via MESMA using the following steps. First, two spectral libraries were generated using the November 2017 and January 2018 processed images. Endmembers were selected based on site knowledge and similarity of spectra to those that would be expected for each landcover class (Figure 2). Both libraries had endmembers selected to represent four broad landcovers that are expected in the marsh: non-photosynthetic vegetation (NPV), green vegetation, bare soil, and subtidal (water). Libraries were optimized using the endmember average RMSE (EAR; Dennison and Roberts 2003), minimum average spectral angle (MASA; Dennison et al., 2004), and count based endmember selection (CoB; Roberts et al. 2003) (EMC) option in VIPER Tools and included a minimum of four sample endmembers per landcover class (Roberts et al., 2019). The November library was used for the pre-debris and two recovery images. The January 2018 image had a separate spectral library for the unique conditions that were expected around the debris flow.</w:t>
      </w:r>
    </w:p>
    <w:p>
      <w:pPr>
        <w:pStyle w:val="BodyText"/>
      </w:pPr>
      <w:r>
        <w:t xml:space="preserve">With the libraries generated, MESMA was performed to obtain fractional cover for all four dates. Endmember models used were 2, 3, 4, and 5-endmember models to ensure the inclusion of the model approaches recommended by Rosso et al. (2005). All models were constrained to fractional cover between 0.0 and 1.0, shade fraction between 0.0 and 0.8, and a maximum root mean square error of 0.025. This process produced fractional cover for the four endmember classes for each date (Figure 3).</w:t>
      </w:r>
    </w:p>
    <w:p>
      <w:pPr>
        <w:pStyle w:val="BodyText"/>
      </w:pPr>
      <w:r>
        <w:t xml:space="preserve">To further build on the data that would guide the classification of CSMR, two vegetation indices were calculated from the Sentinel-2 imagery: NDVI (eq. 1; Rouse et al., 1974) and mARI (eq. 2; Gitelson et al., 2006; Gitelson et al., 2009).</w:t>
      </w:r>
    </w:p>
    <w:p>
      <w:pPr>
        <w:pStyle w:val="BodyText"/>
      </w:pPr>
      <m:oMath>
        <m:r>
          <m:t>N</m:t>
        </m:r>
        <m:r>
          <m:t>D</m:t>
        </m:r>
        <m:r>
          <m:t>V</m:t>
        </m:r>
        <m:r>
          <m:t>I</m:t>
        </m:r>
        <m:r>
          <m:rPr>
            <m:sty m:val="p"/>
          </m:rPr>
          <m:t>=</m:t>
        </m:r>
        <m:d>
          <m:dPr>
            <m:begChr m:val="("/>
            <m:endChr m:val=")"/>
            <m:sepChr m:val=""/>
            <m:grow/>
          </m:dPr>
          <m:e>
            <m:r>
              <m:t>N</m:t>
            </m:r>
            <m:r>
              <m:t>I</m:t>
            </m:r>
            <m:r>
              <m:t>R</m:t>
            </m:r>
            <m:r>
              <m:rPr>
                <m:sty m:val="p"/>
              </m:rPr>
              <m:t>−</m:t>
            </m:r>
            <m:r>
              <m:t>R</m:t>
            </m:r>
            <m:r>
              <m:t>E</m:t>
            </m:r>
            <m:r>
              <m:t>D</m:t>
            </m:r>
          </m:e>
        </m:d>
        <m:r>
          <m:rPr>
            <m:sty m:val="p"/>
          </m:rPr>
          <m:t>/</m:t>
        </m:r>
        <m:d>
          <m:dPr>
            <m:begChr m:val="("/>
            <m:endChr m:val=")"/>
            <m:sepChr m:val=""/>
            <m:grow/>
          </m:dPr>
          <m:e>
            <m:r>
              <m:t>N</m:t>
            </m:r>
            <m:r>
              <m:t>I</m:t>
            </m:r>
            <m:r>
              <m:t>R</m:t>
            </m:r>
            <m:r>
              <m:rPr>
                <m:sty m:val="p"/>
              </m:rPr>
              <m:t>+</m:t>
            </m:r>
            <m:r>
              <m:t>R</m:t>
            </m:r>
            <m:r>
              <m:t>E</m:t>
            </m:r>
            <m:r>
              <m:t>D</m:t>
            </m:r>
          </m:e>
        </m:d>
        <m:r>
          <m:rPr>
            <m:sty m:val="p"/>
          </m:rPr>
          <m:t>=</m:t>
        </m:r>
        <m:d>
          <m:dPr>
            <m:begChr m:val="("/>
            <m:endChr m:val=")"/>
            <m:sepChr m:val=""/>
            <m:grow/>
          </m:dPr>
          <m:e>
            <m:r>
              <m:t>B</m:t>
            </m:r>
            <m:r>
              <m:t>a</m:t>
            </m:r>
            <m:r>
              <m:t>n</m:t>
            </m:r>
            <m:r>
              <m:t>d</m:t>
            </m:r>
            <m:r>
              <m:t>8</m:t>
            </m:r>
            <m:r>
              <m:rPr>
                <m:sty m:val="p"/>
              </m:rPr>
              <m:t>−</m:t>
            </m:r>
            <m:r>
              <m:t>B</m:t>
            </m:r>
            <m:r>
              <m:t>a</m:t>
            </m:r>
            <m:r>
              <m:t>n</m:t>
            </m:r>
            <m:r>
              <m:t>d</m:t>
            </m:r>
            <m:r>
              <m:t>4</m:t>
            </m:r>
          </m:e>
        </m:d>
        <m:r>
          <m:rPr>
            <m:sty m:val="p"/>
          </m:rPr>
          <m:t>/</m:t>
        </m:r>
        <m:d>
          <m:dPr>
            <m:begChr m:val="("/>
            <m:endChr m:val=")"/>
            <m:sepChr m:val=""/>
            <m:grow/>
          </m:dPr>
          <m:e>
            <m:r>
              <m:t>B</m:t>
            </m:r>
            <m:r>
              <m:t>a</m:t>
            </m:r>
            <m:r>
              <m:t>n</m:t>
            </m:r>
            <m:r>
              <m:t>d</m:t>
            </m:r>
            <m:r>
              <m:t>8</m:t>
            </m:r>
            <m:r>
              <m:rPr>
                <m:sty m:val="p"/>
              </m:rPr>
              <m:t>+</m:t>
            </m:r>
            <m:r>
              <m:t>B</m:t>
            </m:r>
            <m:r>
              <m:t>a</m:t>
            </m:r>
            <m:r>
              <m:t>n</m:t>
            </m:r>
            <m:r>
              <m:t>d</m:t>
            </m:r>
            <m:r>
              <m:t>4</m:t>
            </m:r>
          </m:e>
        </m:d>
      </m:oMath>
      <w:r>
        <w:t xml:space="preserve"> </w:t>
      </w:r>
      <w:r>
        <w:t xml:space="preserve">(1)</w:t>
      </w:r>
    </w:p>
    <w:p>
      <w:pPr>
        <w:pStyle w:val="BodyText"/>
      </w:pPr>
      <w:r>
        <w:t xml:space="preserve">NDVI is one of the vegetation indices recommended in the literature for wetland analysis and was found to be one of the more important factors in classifying landcover classes in CSMR in prior work (Tuxen et al., 2008; Klemas 2013; Doughty and Cavanaugh 2019).</w:t>
      </w:r>
    </w:p>
    <w:p>
      <w:pPr>
        <w:pStyle w:val="BodyText"/>
      </w:pPr>
      <m:oMath>
        <m:r>
          <m:t>m</m:t>
        </m:r>
        <m:r>
          <m:t>A</m:t>
        </m:r>
        <m:r>
          <m:t>R</m:t>
        </m:r>
        <m:r>
          <m:t>I</m:t>
        </m:r>
        <m:r>
          <m:rPr>
            <m:sty m:val="p"/>
          </m:rPr>
          <m:t>=</m:t>
        </m:r>
        <m:r>
          <m:t>800</m:t>
        </m:r>
        <m:r>
          <m:t>n</m:t>
        </m:r>
        <m:r>
          <m:t>m</m:t>
        </m:r>
        <m:r>
          <m:rPr>
            <m:sty m:val="p"/>
          </m:rPr>
          <m:t>*</m:t>
        </m:r>
        <m:d>
          <m:dPr>
            <m:begChr m:val="("/>
            <m:endChr m:val=")"/>
            <m:sepChr m:val=""/>
            <m:grow/>
          </m:dPr>
          <m:e>
            <m:r>
              <m:t>1</m:t>
            </m:r>
            <m:r>
              <m:rPr>
                <m:sty m:val="p"/>
              </m:rPr>
              <m:t>/</m:t>
            </m:r>
            <m:d>
              <m:dPr>
                <m:begChr m:val="("/>
                <m:endChr m:val=")"/>
                <m:sepChr m:val=""/>
                <m:grow/>
              </m:dPr>
              <m:e>
                <m:r>
                  <m:t>550</m:t>
                </m:r>
                <m:r>
                  <m:t>n</m:t>
                </m:r>
                <m:r>
                  <m:t>m</m:t>
                </m:r>
              </m:e>
            </m:d>
            <m:r>
              <m:rPr>
                <m:sty m:val="p"/>
              </m:rPr>
              <m:t>−</m:t>
            </m:r>
            <m:r>
              <m:t>1</m:t>
            </m:r>
            <m:r>
              <m:rPr>
                <m:sty m:val="p"/>
              </m:rPr>
              <m:t>/</m:t>
            </m:r>
            <m:d>
              <m:dPr>
                <m:begChr m:val="("/>
                <m:endChr m:val=")"/>
                <m:sepChr m:val=""/>
                <m:grow/>
              </m:dPr>
              <m:e>
                <m:r>
                  <m:t>700</m:t>
                </m:r>
                <m:r>
                  <m:t>n</m:t>
                </m:r>
                <m:r>
                  <m:t>m</m:t>
                </m:r>
              </m:e>
            </m:d>
          </m:e>
        </m:d>
        <m:r>
          <m:rPr>
            <m:sty m:val="p"/>
          </m:rPr>
          <m:t>=</m:t>
        </m:r>
        <m:r>
          <m:t>B</m:t>
        </m:r>
        <m:r>
          <m:t>a</m:t>
        </m:r>
        <m:r>
          <m:t>n</m:t>
        </m:r>
        <m:r>
          <m:t>d</m:t>
        </m:r>
        <m:r>
          <m:t>8</m:t>
        </m:r>
        <m:r>
          <m:rPr>
            <m:sty m:val="p"/>
          </m:rPr>
          <m:t>*</m:t>
        </m:r>
        <m:d>
          <m:dPr>
            <m:begChr m:val="("/>
            <m:endChr m:val=")"/>
            <m:sepChr m:val=""/>
            <m:grow/>
          </m:dPr>
          <m:e>
            <m:r>
              <m:t>1</m:t>
            </m:r>
            <m:r>
              <m:rPr>
                <m:sty m:val="p"/>
              </m:rPr>
              <m:t>/</m:t>
            </m:r>
            <m:d>
              <m:dPr>
                <m:begChr m:val="("/>
                <m:endChr m:val=")"/>
                <m:sepChr m:val=""/>
                <m:grow/>
              </m:dPr>
              <m:e>
                <m:r>
                  <m:t>B</m:t>
                </m:r>
                <m:r>
                  <m:t>a</m:t>
                </m:r>
                <m:r>
                  <m:t>n</m:t>
                </m:r>
                <m:r>
                  <m:t>d</m:t>
                </m:r>
                <m:r>
                  <m:t>3</m:t>
                </m:r>
              </m:e>
            </m:d>
            <m:r>
              <m:rPr>
                <m:sty m:val="p"/>
              </m:rPr>
              <m:t>−</m:t>
            </m:r>
            <m:r>
              <m:t>1</m:t>
            </m:r>
            <m:r>
              <m:rPr>
                <m:sty m:val="p"/>
              </m:rPr>
              <m:t>/</m:t>
            </m:r>
            <m:d>
              <m:dPr>
                <m:begChr m:val="("/>
                <m:endChr m:val=")"/>
                <m:sepChr m:val=""/>
                <m:grow/>
              </m:dPr>
              <m:e>
                <m:r>
                  <m:t>B</m:t>
                </m:r>
                <m:r>
                  <m:t>a</m:t>
                </m:r>
                <m:r>
                  <m:t>n</m:t>
                </m:r>
                <m:r>
                  <m:t>d</m:t>
                </m:r>
                <m:r>
                  <m:t>5</m:t>
                </m:r>
              </m:e>
            </m:d>
          </m:e>
        </m:d>
      </m:oMath>
      <w:r>
        <w:t xml:space="preserve"> </w:t>
      </w:r>
      <w:r>
        <w:t xml:space="preserve">(2)</w:t>
      </w:r>
    </w:p>
    <w:p>
      <w:pPr>
        <w:pStyle w:val="BodyText"/>
      </w:pPr>
      <w:r>
        <w:t xml:space="preserve">mARI is used to detect the levels of anthocyanins, a family of red pigments that can be related to stress and senescence in plants (Gitelson et al., 2001). Anthocyanin content in Salicornia pacifica has been found to increase in the fall and winter (Farrens 1971). Therefore, the mARI has the potential to further help the classification of both senesced vegetation and a dominant marsh plant in CSMR.</w:t>
      </w:r>
    </w:p>
    <w:p>
      <w:pPr>
        <w:pStyle w:val="BodyText"/>
      </w:pPr>
      <w:r>
        <w:t xml:space="preserve">Once the Sentinel-2 and LiDAR products were produced, data were layer stacked prior to the creation of training data. Training data were produced for five landcover classes—bare soil, high marsh, mid marsh, senesced, and subtidal—by selecting reference polygons that matched regions of corresponding landcover from an expert map and from a report of landcover prior to the debris flow developed by Myers et al. (2017) (see Table 1). The high marsh class represents a mixed plant community of Salicornia pacifica, Arthrocnemum subterminale, Frankenia salina, and Distichlis spicata. Mid marsh represents portions of the marsh dominated by S. pacifica. The senesced landcover is composed of upland regions dominated by non-native shrubs and grasses (Myers et al., 2017). Training data were collected for each date by creation of rectangular polygons in ArcGIS (Environmental Systems Research Institute; Table 1). Training data and layer stacked images were analyzed in R (R Core Team 2019).</w:t>
      </w:r>
    </w:p>
    <w:p>
      <w:pPr>
        <w:pStyle w:val="BodyText"/>
      </w:pPr>
      <w:r>
        <w:t xml:space="preserve">Random Forest and Change Detection</w:t>
      </w:r>
    </w:p>
    <w:p>
      <w:pPr>
        <w:pStyle w:val="BodyText"/>
      </w:pPr>
      <w:r>
        <w:t xml:space="preserve">We used a random forest classifier to assign landcover class to each pixel. Random forest is a machine learning technique that automates the categorization of data by running a datapoint (e.g., a pixel) through a set number of decision trees and picking a finalized landcover class via majority vote. Pixel values were first extracted from the layer stacked images with the values and associated landcover recorded into a data frame, which was then filtered to remove variables with NA/NULL values. The data frame was then read into the random forest algorithm, with n=500 decision trees. This process produced classified maps of the five landcover classes. Additional outputs include 1) variable importance, a measure that identifies which layer stack inputs were important in the landcover classification, 2) mtry accuracy and 3) kappa values, accuracy assessment metrics of the training data, and 4) out-of-bag (OOB) error. Further, k-fold cross validation was performed on final results by resampling and averaging accuracy values in R.</w:t>
      </w:r>
      <w:r>
        <w:t xml:space="preserve"> </w:t>
      </w:r>
      <w:r>
        <w:t xml:space="preserve">Post-classification change detection was performed in ENVI using the change detection statistics option. Dates were compared to each other in both chronological order (i.e., November 2017 to January 2018, November 2018 to November 2020) and net order (November 2017 to November 2020). Comparing the dates this way allowed us to track landcover and to obtain extent for all 5 classes as time progressed, thus obtaining net change for each landcover class in the system. ENVI reported change statistics in terms of pixel count, area in square meters, and percentage change. These statistics include class differences and image differences. Percentage change was recalculated using both pixel count and area and used in place of the ENVI reported percentages.</w:t>
      </w:r>
    </w:p>
    <w:p>
      <w:pPr>
        <w:pStyle w:val="BodyText"/>
      </w:pPr>
      <w:r>
        <w:rPr>
          <w:bCs/>
          <w:b/>
        </w:rPr>
        <w:t xml:space="preserve">Results</w:t>
      </w:r>
    </w:p>
    <w:p>
      <w:pPr>
        <w:pStyle w:val="BodyText"/>
      </w:pPr>
      <w:r>
        <w:t xml:space="preserve">Random Forest</w:t>
      </w:r>
    </w:p>
    <w:p>
      <w:pPr>
        <w:pStyle w:val="BodyText"/>
      </w:pPr>
      <w:r>
        <w:t xml:space="preserve">Variable importance was used to determine which of the random forest inputs were most important in the landcover classification of CSMR. Variable importance was measured by the mean decrease in Gini index (Gini value), a measure in which higher values indicate higher importance in the model (Lee 2017). From this measure, NDVI (Gini values = 62.94, 19.62, 79.40, 109.51, for each date respectively) and green vegetation fraction (Gini values= 61.43, 37.74, 82.29, 58.340, for each date respectively) were the most important variables in three of the four years. NDVI and green vegetation fractions did not have the highest importance in January 2018 and November 2020, respectively. Secondary variables that also had high importance were mARI (Gini values = 16.82, 9.65, 53.45, 98.57, each date respectively), bare soil fractions (Gini values = 55.01, 33.66, 41.95, 65.66, each date respectively), and senesced vegetation (Gini values = 25.66, 34.22, 54.36, 43.70, each date respectively). Recovery time steps had greater mARI importance compared to the earlier dates. Shade fractions (Gini values = 20.34, 14.81, 29.51, 46.48, each date respectively) and subtidal fractions (Gini values = 50.032, 23.63, 19.12, 30.02, each date respectively) had the lowest amount of importance in the majority of the dates. The bare surface model (digital elevation) was only available in January 2018 but had moderate importance in the model (Gini value = 25.99).</w:t>
      </w:r>
    </w:p>
    <w:p>
      <w:pPr>
        <w:pStyle w:val="BodyText"/>
      </w:pPr>
      <w:r>
        <w:t xml:space="preserve">Overall accuracy of the random forest classification across all dates was measured by mtry, OOB error, and k-fold cross-validation. The number of splits that occur at each node within a decision tree is indicated by mtry; the random forest model then selects the mtry with the highest accuracy as the final prediction. The final mtry accuracy values (mtry= 2, 5, 2, and 2 respectively, Table 2) were high for all four dates—0.994, 0.920, 0.956. and 0.963, respectively—with similar kappa values—0.993, 0.897, 0.956, 0.953. However, these values may be overpredicted as they are generated from within the training data.</w:t>
      </w:r>
    </w:p>
    <w:p>
      <w:pPr>
        <w:pStyle w:val="BodyText"/>
      </w:pPr>
      <w:r>
        <w:t xml:space="preserve">OOB error and k-fold cross validation are secondary accuracy measures used to confirm accuracy from mtry. OOB error measures prediction error of random forests using bootstrap aggregating and is recalculated as more trees are added to the random forest model. OOB error rates agree with mtry accuracy and indicate high accuracy values of the random forest classifications (OOB error rate = 0.8%, 7.4%, 4.4%, 3.1%, for Nov. 2017, Jan. 2018, Nov. 2018, and Nov. 2020, respectively). K-fold cross validation is a validation technique in which data are iteratively resampled k-times, and prediction error or accuracy is averaged among all iterations (Brinberg n.d.). Data were resampled using the default iterations (k=25) in R and averaged to obtain accuracy rates for all dates. As with OOB error, k-fold cross validation showed agreement with mtry accuracy and provides further evidence that the results of the random forest classifier have a high degree of accuracy (k-fold value = 99.3%, 91.0%, 95.7%, 96.2%).</w:t>
      </w:r>
    </w:p>
    <w:p>
      <w:pPr>
        <w:pStyle w:val="BodyText"/>
      </w:pPr>
      <w:r>
        <w:t xml:space="preserve">Landcover class accuracy was measured via producer’s and user’s error and allows for the assessment of the mapping of individual landcover classes. High marsh vegetation was the most accurately mapped with low user’s and producer’s error across all dates. Subtidal and mid marsh had the greatest amount of user and producer’s error, especially in January 2018. Subtidal cover had the greatest confusion with mid marsh vegetation and bare soil, while mid marsh was confused with bare soil and subtidal. Error within the subtidal and mid marsh classes was below 10% for most dates, and classification for the two classes remained relatively accurate.</w:t>
      </w:r>
    </w:p>
    <w:p>
      <w:pPr>
        <w:pStyle w:val="BodyText"/>
      </w:pPr>
      <w:r>
        <w:t xml:space="preserve">Post-Classification Change Detection</w:t>
      </w:r>
    </w:p>
    <w:p>
      <w:pPr>
        <w:pStyle w:val="BodyText"/>
      </w:pPr>
      <w:r>
        <w:t xml:space="preserve">The random forest classifier produced four landcover maps for CSMR (Figure 4). Each map shows the extent of the five landcover classes—bare soil, high marsh, mid marsh, senesced, and subtidal—and represents different states of disturbance and recovery. The high marsh landcover had the most area in November 2017 and January 2018, and mid marsh vegetation was the largest landcover class in November 2018 and 2020 (Figure 5 and 6). Senesced vegetation and subtidal landcover experienced little change compared to bare soil, high marsh, and mid marsh vegetation (Figures 5 and 6).</w:t>
      </w:r>
    </w:p>
    <w:p>
      <w:pPr>
        <w:pStyle w:val="BodyText"/>
      </w:pPr>
      <w:r>
        <w:t xml:space="preserve">The post classification change detection showed a 19.25 ha increase in bare soil coverage between November 2017 and January 2018. This amounted to 27.83 ha (~30%) of the marsh being covered in bare soil immediately following the debris flow (Figure 5). In November 2020, bare soil coverage decreased by 16.59 ha when compared to January 2018—a decrease of bare soil coverage to 11.24 ha (~12%) of total marsh area (Figure 5). Between November 2017 and November 2020, there was a 2.66 ha (31%) net increase in bare soil coverage in the marsh (Figure 6).</w:t>
      </w:r>
    </w:p>
    <w:p>
      <w:pPr>
        <w:pStyle w:val="BodyText"/>
      </w:pPr>
      <w:r>
        <w:t xml:space="preserve">On the other hand, overall marsh vegetation (high marsh + mid marsh) coverage changed little with only a 0.12% net increase in total vegetation coverage between November 2017 and November 2020. However, when split into the two respective vegetation landcover classes, high marsh vegetation coverage decreased as mid marsh vegetation increased. There were a few areas where change in landcover was prominently seen in the landscape, especially areas that were high marsh vegetation and/or near areas covered by bare soil that changed to mid marsh vegetation, such as near the salt pan in the northeast (Figure 7 b) and some of the mudflat region in the western portion of the marsh (Figure 7 a &amp; c).</w:t>
      </w:r>
    </w:p>
    <w:p>
      <w:pPr>
        <w:pStyle w:val="BodyText"/>
      </w:pPr>
      <w:r>
        <w:rPr>
          <w:bCs/>
          <w:b/>
        </w:rPr>
        <w:t xml:space="preserve">Discussion</w:t>
      </w:r>
    </w:p>
    <w:p>
      <w:pPr>
        <w:pStyle w:val="BodyText"/>
      </w:pPr>
      <w:r>
        <w:t xml:space="preserve">Variable Importance</w:t>
      </w:r>
    </w:p>
    <w:p>
      <w:pPr>
        <w:pStyle w:val="BodyText"/>
      </w:pPr>
      <w:r>
        <w:t xml:space="preserve">The identification of important classification variables enables the mapping of landcover from remote sensing imagery. As much of the landscape is either vegetated or covered in bare soil, variables that can be used to identify and classify these landcovers would be important metrics. Therefore, NDVI was likely used to differentiate mid and high marsh vegetation from the non-vegetation landcover classes, with bare soil fractions helping to differentiate the non-vegetated landcover classes. Knowledge of variable importance could be useful in deciding which measurements to obtain when it is possible to combine collection of field data with remotely sensed data. January 2018 had the lowest values for decrease in Gini index, and this could be linked to having more variables to use and/or high solar zenith angle. However, this would have to be tested by adding elevation data of a similar quality to the other random forest classifications.</w:t>
      </w:r>
    </w:p>
    <w:p>
      <w:pPr>
        <w:pStyle w:val="BodyText"/>
      </w:pPr>
      <w:r>
        <w:t xml:space="preserve">Accuracy Assessment</w:t>
      </w:r>
    </w:p>
    <w:p>
      <w:pPr>
        <w:pStyle w:val="BodyText"/>
      </w:pPr>
      <w:r>
        <w:t xml:space="preserve">The three accuracy metrics (mtry, OOB error, and k-fold cross validation) suggested that landcover was accurately mapped by the random forest classifier and that the produced maps were reliable for use in change detection. The accuracy of the random forest classification is comparable to those of other studies. For example, Wu et al., (2020) also performed a random forest classification for a subtropical wetland that had a similar overall accuracy value of 92.96% compared to this study’s values of 99.4%, 92.0%, 95.6%. and 96.3%. The model also performed as well as or better than classifications done using other methods, such as maximum likelihood classification, Iso-cluster unsupervised classification, or reclassification/recoding of vegetation indices (Tuxen et al., 2007; Parihar et al., 2012; Nasser Mohamed Eid et al., 2020). The random forest classification done here was more accurate than the maximum likelihood classification done by Parihar et al., (2012), with an average accuracy of 95.8% vs. 76.5%, respectively. When compared to Tuxen et al., (2007), the random forest did approximately the same or slightly better than reclassification, with reclassification having accuracy values of 81.4% and 96.3% compared to our average accuracy of 95.8%. Iso-cluster classification on NDVI did somewhat better than the random forest with accuracy values of 97.3%, 97.5%, 97.6%, and 98.0% for the respective dates (Nasser Mohamed Eid et al., 2020).</w:t>
      </w:r>
    </w:p>
    <w:p>
      <w:pPr>
        <w:pStyle w:val="BodyText"/>
      </w:pPr>
      <w:r>
        <w:t xml:space="preserve">High marsh had the highest accuracy, while the mid marsh class had high user’s and producer’s errors. As mid marsh is one of the classes that experienced the most change following the debris flow, any error present in its classification presents a problem; however, this error only exceeds 10% in January 2018 (user’s: 17%, producer’s: 15%) and is within acceptable margins for all other dates. Possible sources for the error include: 1) training data may have included misclassified pixels and introduced error to the corresponding landcover class, 2) pixels may have had values similar to that of multiple landcover classes, 3) resampled 20 m resolution Sentinel-2 bands may have still been too coarse to assess changes in the marsh, and 4) the use of a different spectral library for January 2018 may have led to lower accuracies for this date. To remedy this, the use of data from higher spatial resolution sensors may be useful in reducing the frequency of mixed pixels and the need for fractional cover. Additionally, higher spectral resolution may improve the building of spectral libraries that can better differentiate between endmember classes, which then improves inputs into the random forest model.</w:t>
      </w:r>
    </w:p>
    <w:p>
      <w:pPr>
        <w:pStyle w:val="BodyText"/>
      </w:pPr>
      <w:r>
        <w:t xml:space="preserve">Landcover Change and Ecological Implications</w:t>
      </w:r>
    </w:p>
    <w:p>
      <w:pPr>
        <w:pStyle w:val="BodyText"/>
      </w:pPr>
      <w:r>
        <w:t xml:space="preserve">A majority of the landcover change occurred in bare soil, high marsh, and mid marsh vegetation. Bare soil area increased by 224% following the debris flows and dropped considerably in area by November 2018, likely due to the mechanical clean-up effort and king tides which removed a large amount of the sediment. Bare soil continued to decrease until there was only a net 31% increase in bare soil by November 2020. This may indicate that the marsh was still recovering from the debris flows and would continue to change over time.</w:t>
      </w:r>
    </w:p>
    <w:p>
      <w:pPr>
        <w:pStyle w:val="BodyText"/>
      </w:pPr>
      <w:r>
        <w:t xml:space="preserve">Total vegetated area in the marsh showed little change over the 3 years with only a 0.12% increase in total marsh vegetation between November 2017 and November 2020. However, change was occurring, which is apparent when total vegetation is broken down into community types (high vs. mid marsh) and compared. High marsh (a mixed community of Salicornia pacifica, Arthrocnemum subterminale, Frankenia salina, and Distichlis spicata) area decreased by about the same amount that mid marsh (primarily only S. pacifica) area increased, creating the illusion of little change in vegetated area. The post classification change detection showed that this shift from high to mid marsh community primarily occurred near areas that had been covered by bare soil following the debris flow.</w:t>
      </w:r>
    </w:p>
    <w:p>
      <w:pPr>
        <w:pStyle w:val="BodyText"/>
      </w:pPr>
      <w:r>
        <w:t xml:space="preserve">The conversion to mid marsh vegetation from high marsh vegetation signifies a decrease in plant biodiversity as the community shifts from a mixed community to one that is largely composed solely of S. pacifica. This change in diversity poses some ecological challenges important to long-term wetland management. Studies have shown that a less diverse community is less resilient to the effects of disturbance, and spatial heterogeneity is important in the enhancement of the resilience of ecosystem functions (Oliver et al., 2015). Less resilience may dictate a need for more management intervention following disturbances, especially as the frequency of disturbances, such as wildfire, sea level rise, and extreme weather, are predicted to increase with global climate change (Erwin 2009). Studies have found that the addition of sediment via depositional events can promote plant growth by the delivery of mineral nutrients (Tweel and Turner 2012). These nutrients may promote increased primary productivity by providing limiting nutrients. However, biodiversity has also been found to be positively linked to primary productivity and its temporal stability (Oehri et al., 2017). A trend of conversion from a mixed community of several plant species to one made of primarily only one plant species may have harmful repercussions for marsh productivity and other ecosystem services and functions. Determining whether this change to a less diverse community is a permanent change or only a short-term condition as the marsh recovers from the debris flow would require analysis of a longer time series of imagery over several years following the debris flows.</w:t>
      </w:r>
    </w:p>
    <w:p>
      <w:pPr>
        <w:pStyle w:val="BodyText"/>
      </w:pPr>
      <w:r>
        <w:t xml:space="preserve">Sea level rise (SLR) is a challenge for the conservation of coastal wetlands, especially in developed regions, as rising sea levels contribute to coastal squeeze leading to landcover change, fragmentation, and eventual loss of coastal marshes (Torio and Chmura 2013). Sediment deposition and soil accretion are viewed as important processes for the offsetting of SLR (Tweel and Turner 2012; Rosencranz et al., 2015). However, our results imply that debris flow deposition is also leading to landcover and plant community change. Therefore, landcover change may become an important consideration when planning for the management of coastal wetlands that can be prone to depositional events; this study is an important example of how to inform those plans in the absence of field data.</w:t>
      </w:r>
    </w:p>
    <w:p>
      <w:pPr>
        <w:pStyle w:val="BodyText"/>
      </w:pPr>
      <w:r>
        <w:t xml:space="preserve">Limitations and Challenges</w:t>
      </w:r>
    </w:p>
    <w:p>
      <w:pPr>
        <w:pStyle w:val="BodyText"/>
      </w:pPr>
      <w:r>
        <w:t xml:space="preserve">As discussed above, the resolution of remotely sensed data is important in the assessment of the fine scale changes that occur in marsh ecosystems. Some Sentinel-2 bands do not have a native 10 m resolution and, therefore, have pixels that represent an average of a larger mix of landcover types. Resampling, as conducted in this study, only splits this coarser data into smaller pixels and not into its disaggregated components. Therefore, landcover classification would benefit from a sensor where all bands have the same fine spatial resolution, such as unmanned aerial vehicles. High density LiDAR for more dates would also help in the assessment of biomass and vertical landcover differences, such as water in channels vs. plants in upland regions. In addition, the baseline landcover prior to the debris flow was limited to a single date due to cloud cover, tide, and the length of historical record. Baseline assessments could be improved by using a sensor with a longer history or by using multiple dates per year. Ground reference data were also scarcely available due to the lack of prior field data to compare against classification of historical imagery and due to the COVID-19 pandemic limiting ability to go into the field to collect such data; hence the emphasis on other accuracy metrics. The results are also limited in their predictive power. For example, the rate at which sediment is being removed from the system or identification of whether the recently mapped sediment was the same sediment that had been deposited during the debris flow cannot be properly ascertained from these data. The processes leading to the conversion of high marsh to mid marsh vegetation also cannot be directly detected from these data.</w:t>
      </w:r>
    </w:p>
    <w:p>
      <w:pPr>
        <w:pStyle w:val="BodyText"/>
      </w:pPr>
      <w:r>
        <w:t xml:space="preserve">Conclusion</w:t>
      </w:r>
    </w:p>
    <w:p>
      <w:pPr>
        <w:pStyle w:val="BodyText"/>
      </w:pPr>
      <w:r>
        <w:t xml:space="preserve">Post-classification change detection tracked change in the five different landcover types in CSMR and found that mid marsh, high marsh, and bare soil landcover changed most dramatically in the dates studied. Total marsh vegetation (high marsh + mid marsh) cover returned to similar levels to those before the debris flows; however, assessing change as total marsh vegetation, as was the initial frame of the research question, does not lead to a robust conclusion. Areas that were covered in debris transitioned from high marsh vegetation to mid marsh vegetation, despite total vegetated area remaining relatively unchanged. This transition has important ecological implications for marsh productivity and resilience to disturbance that continue after the debris is removed from the system.</w:t>
      </w:r>
    </w:p>
    <w:p>
      <w:pPr>
        <w:pStyle w:val="BodyText"/>
      </w:pPr>
      <w:r>
        <w:t xml:space="preserve">The method used here shows promise in being applied to other wetland systems. For example, the random forest model identified important classification variables that can be used to classify marsh landcover without field-based data. The method can also serve as an important first step in the identification of regions of interest that can be used to inform field campaigns to address further questions that arise from the use of remote sensing (e.g., a field campaign to assess the factors that are leading to the transition from high marsh to mid marsh vegetation).</w:t>
      </w:r>
    </w:p>
    <w:p>
      <w:pPr>
        <w:pStyle w:val="BodyText"/>
      </w:pPr>
      <w:r>
        <w:t xml:space="preserve">The Montecito Debris Flows provided a unique opportunity to study debris interactions with marshes in a context different than what is known from previous studies which more commonly focused on hurricane deposition. Data and information are an important part of making informed management decisions, and this study provides a successful demonstration of the use of post-classification change detection to assess wetland landcover response to an episodic event and the data that can be expected from such an assessment.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Shifts in Salt Marsh Vegetation Landcover After Debris Flow Deposition</dc:title>
  <dc:creator/>
  <cp:keywords/>
  <dcterms:created xsi:type="dcterms:W3CDTF">2022-03-15T00:06:28Z</dcterms:created>
  <dcterms:modified xsi:type="dcterms:W3CDTF">2022-03-15T00:06:28Z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