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Titel: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 Use-Case-Schablone für Aktienvorhersage-Website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1. Zweck und Beschreibung: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Zweck: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Bereitstellung von Aktienvorhersagen und Analysen für Anleger.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Beschreibung: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Die Website bietet Anlegern Daten und Analysen zu Aktienkursen, einschließlich Vorhersagen zu künftigen Preisbewegungen.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2. Akteure: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Hauptakteure: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Anleger, Anbieter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Nebenakteure: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Datenaufbereitungs-Tools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3. Vorbedingung: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Erwarteter Zustand: 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Website und Features sind fehlerfrei zur Abrufbar. Modell hat die Daten bis zum Zeitpunkt des Aufrufs vorliegen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Erwarteter Zustand: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Website und Features sind fehlerfrei zur Verfügung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Nachbedingung Fehlschlag: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 Website lädt nicht richtig und gibt Fehlermeldung aus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4. Funktionale Anforderungen: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Aktienvorhersagen: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Die Website sollte Prognosen über zukünftige Aktienkurse unter Verwendung historischer Daten und Marktanalysen bieten.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Interaktive Charts: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Bereitstellung von interaktiven Charts, die historische und prognostizierte Daten visualisieren.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Aktienbetrachtung: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Möglichkeit für Benutzer zwischen den hervorgehobenen Aktien zu wechseln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Marktnachrichten: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Integration der neuesten Marktnachrichten und Ereignisse, die die Aktienkurse beeinflussen können.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5. Nicht-funktionale Anforderungen: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Zuverlässigkeit: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Hohe Verfügbarkeit der Website und Genauigkeit der Daten.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Benutzerfreundlichkeit: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Intuitive Benutzeroberfläche und einfache Navigation.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6. Anwendungsfälle: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Fall 1: Aktienvorhersage ansehen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Beschreibung: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Benutzer können Vorhersagen für verschiedene Aktien einsehen.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Schritte: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Benutzer wählt Aktie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System zeigt historische Daten und Vorhersagen an.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Fall 2: Aktie wechseln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Beschreibung: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Benutzer wechselt die Aktie die betrachtet werden soll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Schritte: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Benutzer klickt auf Aktienname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System zeigt historische Daten an.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Fall 3: Marktnachrichten lesen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Beschreibung: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Benutzer können aktuelle Marktnachrichten lesen.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Schritte: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Benutzer wählt Nachricht aus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System leitet zur ausgewählten Nachricht weiter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7. Beschränkungen und Annahmen: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Datenquellen: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Die Vorhersagen basieren auf verfügbaren historischen Marktdaten.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  <w:t xml:space="preserve">8. Geschäftsumgebung: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Zielgruppe: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Anleger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Marktbedingungen: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Abhängig von der aktuellen Wirtschaftslage und dem Interesse an Finanzmärkten.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