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Artículo científico automático</w:t>
      </w:r>
    </w:p>
    <w:p>
      <w:pPr>
        <w:jc w:val="center"/>
      </w:pPr>
      <w:r>
        <w:rPr>
          <w:i/>
          <w:sz w:val="24"/>
        </w:rPr>
        <w:t>Análisis de encuesta Likert</w:t>
      </w:r>
    </w:p>
    <w:p>
      <w:pPr>
        <w:jc w:val="center"/>
      </w:pPr>
      <w:r>
        <w:rPr>
          <w:sz w:val="24"/>
        </w:rPr>
        <w:t>Likert 7</w:t>
      </w:r>
    </w:p>
    <w:p/>
    <w:p>
      <w:pPr>
        <w:pStyle w:val="Heading1"/>
      </w:pPr>
      <w:r>
        <w:t>RESUMEN</w:t>
      </w:r>
    </w:p>
    <w:p>
      <w:r>
        <w:t>Se presenta un análisis automatizado del instrumento Likert 'Likert 7'. El cuestionario fue analizado con una escala de 7 puntos, 8 ítems y 200 respuestas válidas. La consistencia interna alcanzó un alfa de Cronbach de 0.6987, interpretado como débil. La media global observada fue 5.033, lo que refleja una tendencia intermedia en las respuestas. Las dimensiones más fuertes fueron: relevancia, disponibilidad. Las dimensiones con menor desempeño fueron: uso, infraestructura.</w:t>
      </w:r>
    </w:p>
    <w:p>
      <w:pPr>
        <w:pStyle w:val="Heading1"/>
      </w:pPr>
      <w:r>
        <w:t>1. INTRODUCCIÓN</w:t>
      </w:r>
    </w:p>
    <w:p>
      <w:r>
        <w:t>El análisis de instrumentos tipo Likert constituye una fase esencial en estudios académicos basados en percepción, satisfacción y evaluación de procesos. En este trabajo se analiza el instrumento 'Likert 7' mediante SADI, integrando lectura psicométrica, hallazgos automáticos, interpretación metodológica y, cuando aplica, modelado predictivo.</w:t>
      </w:r>
    </w:p>
    <w:p>
      <w:pPr>
        <w:pStyle w:val="Heading1"/>
      </w:pPr>
      <w:r>
        <w:t>2. METODOLOGÍA</w:t>
      </w:r>
    </w:p>
    <w:p>
      <w:r>
        <w:t>Se aplicó un análisis automatizado que incluyó detección de ítems Likert, cálculo de medias por ítem y dimensión, consistencia interna mediante alfa de Cronbach, visualización exploratoria, identificación de dimensiones fuertes y débiles, y reconstrucción de resultados predictivos disponibles.</w:t>
      </w:r>
    </w:p>
    <w:p>
      <w:pPr>
        <w:pStyle w:val="Heading1"/>
      </w:pPr>
      <w:r>
        <w:t>3. RESULTADOS</w:t>
      </w:r>
    </w:p>
    <w:p>
      <w:r>
        <w:t>El instrumento presentó un alfa de Cronbach de 0.6987, con una confiabilidad interpretada como débil. La media global del instrumento fue 5.033, indicando una tendencia intermedia en las respuestas. Entre las dimensiones mejor valoradas se identificaron: relevancia, disponibilidad. Las dimensiones con mayor necesidad de revisión fueron: uso, infraestructura.</w:t>
      </w:r>
    </w:p>
    <w:p>
      <w:pPr>
        <w:pStyle w:val="Heading1"/>
      </w:pPr>
      <w:r>
        <w:t>4. INSIGHTS AUTOMÁTICOS SADI</w:t>
      </w:r>
    </w:p>
    <w:p>
      <w:pPr>
        <w:pStyle w:val="ListBullet"/>
      </w:pPr>
      <w:r>
        <w:t>El dataset contiene 200 filas y 8 columnas, lo que permite un análisis exploratorio inicial consistente.</w:t>
      </w:r>
    </w:p>
    <w:p>
      <w:pPr>
        <w:pStyle w:val="ListBullet"/>
      </w:pPr>
      <w:r>
        <w:t>Se detectaron 8 variables numéricas, adecuadas para análisis descriptivo, correlacional y eventualmente predictivo.</w:t>
      </w:r>
    </w:p>
    <w:p>
      <w:pPr>
        <w:pStyle w:val="ListBullet"/>
      </w:pPr>
      <w:r>
        <w:t>No se detectaron valores faltantes a nivel global, lo que favorece análisis más directos y limpios.</w:t>
      </w:r>
    </w:p>
    <w:p>
      <w:pPr>
        <w:pStyle w:val="ListBullet"/>
      </w:pPr>
      <w:r>
        <w:t>La variable 'infraestructura_aulas' destaca como la más relevante en términos de variabilidad y calidad de datos.</w:t>
      </w:r>
    </w:p>
    <w:p>
      <w:pPr>
        <w:pStyle w:val="ListBullet"/>
      </w:pPr>
      <w:r>
        <w:t>La variable 'infraestructura_aulas' presenta la mayor variabilidad observada en el dataset.</w:t>
      </w:r>
    </w:p>
    <w:p>
      <w:pPr>
        <w:pStyle w:val="ListBullet"/>
      </w:pPr>
      <w:r>
        <w:t>La variable 'infraestructura_aulas' podría utilizarse como objetivo en un modelo de regresión.</w:t>
      </w:r>
    </w:p>
    <w:p>
      <w:pPr>
        <w:pStyle w:val="ListBullet"/>
      </w:pPr>
      <w:r>
        <w:t>La variable con mayor dispersión observada fue 'infraestructura_aulas'.</w:t>
      </w:r>
    </w:p>
    <w:p>
      <w:pPr>
        <w:pStyle w:val="ListBullet"/>
      </w:pPr>
      <w:r>
        <w:t>El dataset presenta una estructura general que permite comenzar con análisis exploratorio, visualizaciones y detección de patrones.</w:t>
      </w:r>
    </w:p>
    <w:p>
      <w:pPr>
        <w:pStyle w:val="ListBullet"/>
      </w:pPr>
      <w:r>
        <w:t>El área de investigación declarada es 'educacion', por lo que SADI puede orientar mejor las recomendaciones metodológicas.</w:t>
      </w:r>
    </w:p>
    <w:p>
      <w:pPr>
        <w:pStyle w:val="ListBullet"/>
      </w:pPr>
      <w:r>
        <w:t>El instrumento presentó un alfa de Cronbach de 0.6987, lo que indica una consistencia interna cuestionable.</w:t>
      </w:r>
    </w:p>
    <w:p>
      <w:pPr>
        <w:pStyle w:val="ListBullet"/>
      </w:pPr>
      <w:r>
        <w:t>En términos metodológicos, la confiabilidad global del instrumento puede calificarse como débil.</w:t>
      </w:r>
    </w:p>
    <w:p>
      <w:pPr>
        <w:pStyle w:val="ListBullet"/>
      </w:pPr>
      <w:r>
        <w:t>La media global del instrumento fue de 5.033, lo que resume una tendencia general intermedia en las respuestas.</w:t>
      </w:r>
    </w:p>
    <w:p>
      <w:pPr>
        <w:pStyle w:val="Heading1"/>
      </w:pPr>
      <w:r>
        <w:t>5. CONCLUSIÓN AUTOMÁTICA</w:t>
      </w:r>
    </w:p>
    <w:p>
      <w:r>
        <w:t>El dataset analizado presenta 200 registros y 8 variables. En su estructura se identifican 8 variables numéricas, 0 categóricas y 0 temporales. No se observaron valores faltantes globales, lo que constituye una base favorable para el análisis. Desde la perspectiva analítica, el enfoque sugerido por SADI es: educativo Las variables más dispersas podrían explicar buena parte de la variabilidad observada. SADI detectó como posible variable objetivo 'infraestructura_aulas', dentro de un contexto de regression.</w:t>
      </w:r>
    </w:p>
    <w:p>
      <w:pPr>
        <w:pStyle w:val="Heading1"/>
      </w:pPr>
      <w:r>
        <w:t>7. LECTURA METODOLÓGICA DEL INSTRUMENTO</w:t>
      </w:r>
    </w:p>
    <w:p>
      <w:r>
        <w:t>Dimensiones fuertes: relevancia, disponibilidad.</w:t>
      </w:r>
    </w:p>
    <w:p>
      <w:r>
        <w:t>Dimensiones débiles: uso, infraestructura.</w:t>
      </w:r>
    </w:p>
    <w:p>
      <w:r>
        <w:t>Advertencias metodológicas:</w:t>
      </w:r>
    </w:p>
    <w:p>
      <w:pPr>
        <w:pStyle w:val="ListBullet"/>
      </w:pPr>
      <w:r>
        <w:t>La baja confiabilidad puede afectar la validez de las conclusiones.</w:t>
      </w:r>
    </w:p>
    <w:p>
      <w:pPr>
        <w:pStyle w:val="Heading1"/>
      </w:pPr>
      <w:r>
        <w:t>8. RECOMENDACIONES RÁPIDAS</w:t>
      </w:r>
    </w:p>
    <w:p>
      <w:pPr>
        <w:pStyle w:val="ListBullet"/>
      </w:pPr>
      <w:r>
        <w:t>Calcular promedios por dimensión e ítem.</w:t>
      </w:r>
    </w:p>
    <w:p>
      <w:pPr>
        <w:pStyle w:val="ListBullet"/>
      </w:pPr>
      <w:r>
        <w:t>Revisar consistencia interna antes de interpretar resultados globales.</w:t>
      </w:r>
    </w:p>
    <w:p>
      <w:pPr>
        <w:pStyle w:val="ListBullet"/>
      </w:pPr>
      <w:r>
        <w:t>Analizar rendimiento, asistencia y patrones académicos.</w:t>
      </w:r>
    </w:p>
    <w:p>
      <w:pPr>
        <w:pStyle w:val="ListBullet"/>
      </w:pPr>
      <w:r>
        <w:t>Comparar resultados entre grupos o cursos si existen variables categóricas.</w:t>
      </w:r>
    </w:p>
    <w:p>
      <w:pPr>
        <w:pStyle w:val="ListBullet"/>
      </w:pPr>
      <w:r>
        <w:t>Revisar la redacción, coherencia y redundancia de los ítems para mejorar la confiabilidad del instrumento.</w:t>
      </w:r>
    </w:p>
    <w:p>
      <w:pPr>
        <w:pStyle w:val="ListBullet"/>
      </w:pPr>
      <w:r>
        <w:t>Profundizar el análisis de las dimensiones más débiles: uso, infraestructura.</w:t>
      </w:r>
    </w:p>
    <w:p>
      <w:pPr>
        <w:pStyle w:val="ListBullet"/>
      </w:pPr>
      <w:r>
        <w:t>Considerar las dimensiones fuertes (relevancia, disponibilidad) como ejes interpretativos principales.</w:t>
      </w:r>
    </w:p>
    <w:p>
      <w:pPr>
        <w:pStyle w:val="ListBullet"/>
      </w:pPr>
      <w:r>
        <w:t>Complementar la interpretación con gráficos por dimensión, ranking de ítems y distribución de respuestas.</w:t>
      </w:r>
    </w:p>
    <w:p>
      <w:pPr>
        <w:pStyle w:val="Heading1"/>
      </w:pPr>
      <w:r>
        <w:t>9. PLAN DE ANÁLISIS SUGERIDO</w:t>
      </w:r>
    </w:p>
    <w:p>
      <w:r>
        <w:t>Análisis sugeridos:</w:t>
      </w:r>
    </w:p>
    <w:p>
      <w:pPr>
        <w:pStyle w:val="ListBullet"/>
      </w:pPr>
      <w:r>
        <w:t>Análisis descriptivo por ítem</w:t>
      </w:r>
    </w:p>
    <w:p>
      <w:pPr>
        <w:pStyle w:val="ListBullet"/>
      </w:pPr>
      <w:r>
        <w:t>Análisis descriptivo por dimensión</w:t>
      </w:r>
    </w:p>
    <w:p>
      <w:pPr>
        <w:pStyle w:val="ListBullet"/>
      </w:pPr>
      <w:r>
        <w:t>Consistencia interna mediante alfa de Cronbach</w:t>
      </w:r>
    </w:p>
    <w:p>
      <w:pPr>
        <w:pStyle w:val="ListBullet"/>
      </w:pPr>
      <w:r>
        <w:t>Comparación entre dimensiones del instrumento</w:t>
      </w:r>
    </w:p>
    <w:p>
      <w:r>
        <w:t>Gráficos sugeridos:</w:t>
      </w:r>
    </w:p>
    <w:p>
      <w:pPr>
        <w:pStyle w:val="ListBullet"/>
      </w:pPr>
      <w:r>
        <w:t>Resumen gráfico de puntajes Likert</w:t>
      </w:r>
    </w:p>
    <w:p>
      <w:pPr>
        <w:pStyle w:val="ListBullet"/>
      </w:pPr>
      <w:r>
        <w:t>Radar de dimensiones</w:t>
      </w:r>
    </w:p>
    <w:p>
      <w:pPr>
        <w:pStyle w:val="ListBullet"/>
      </w:pPr>
      <w:r>
        <w:t>Gráfico divergente Likert</w:t>
      </w:r>
    </w:p>
    <w:p>
      <w:pPr>
        <w:pStyle w:val="ListBullet"/>
      </w:pPr>
      <w:r>
        <w:t>Gráfico resumen por dimensión</w:t>
      </w:r>
    </w:p>
    <w:p>
      <w:r>
        <w:t>Enfoque narrativo recomendado: Interpretar la consistencia del instrumento, la tendencia general de respuesta y las diferencias entre dimensiones o bloques temáticos.</w:t>
      </w:r>
    </w:p>
    <w:p>
      <w:r>
        <w:t>Advertencias:</w:t>
      </w:r>
    </w:p>
    <w:p>
      <w:pPr>
        <w:pStyle w:val="ListBullet"/>
      </w:pPr>
      <w:r>
        <w:t>La confiabilidad del instrumento es baja y conviene revisar ítems antes de sacar conclusiones fuertes.</w:t>
      </w:r>
    </w:p>
    <w:p>
      <w:pPr>
        <w:pStyle w:val="Heading1"/>
      </w:pPr>
      <w:r>
        <w:t>10. RANKING DE DIMENSIONES</w:t>
      </w:r>
    </w:p>
    <w:tbl>
      <w:tblPr>
        <w:tblStyle w:val="TableGrid"/>
        <w:tblW w:type="auto" w:w="0"/>
        <w:tblLook w:firstColumn="1" w:firstRow="1" w:lastColumn="0" w:lastRow="0" w:noHBand="0" w:noVBand="1" w:val="04A0"/>
      </w:tblPr>
      <w:tblGrid>
        <w:gridCol w:w="5040"/>
        <w:gridCol w:w="5040"/>
      </w:tblGrid>
      <w:tr>
        <w:tc>
          <w:tcPr>
            <w:tcW w:type="dxa" w:w="5040"/>
          </w:tcPr>
          <w:p>
            <w:r>
              <w:t>Dimensión</w:t>
            </w:r>
          </w:p>
        </w:tc>
        <w:tc>
          <w:tcPr>
            <w:tcW w:type="dxa" w:w="5040"/>
          </w:tcPr>
          <w:p>
            <w:r>
              <w:t>Media</w:t>
            </w:r>
          </w:p>
        </w:tc>
      </w:tr>
      <w:tr>
        <w:tc>
          <w:tcPr>
            <w:tcW w:type="dxa" w:w="5040"/>
          </w:tcPr>
          <w:p>
            <w:r>
              <w:t>relevancia</w:t>
            </w:r>
          </w:p>
        </w:tc>
        <w:tc>
          <w:tcPr>
            <w:tcW w:type="dxa" w:w="5040"/>
          </w:tcPr>
          <w:p>
            <w:r>
              <w:t>5.245</w:t>
            </w:r>
          </w:p>
        </w:tc>
      </w:tr>
      <w:tr>
        <w:tc>
          <w:tcPr>
            <w:tcW w:type="dxa" w:w="5040"/>
          </w:tcPr>
          <w:p>
            <w:r>
              <w:t>disponibilidad</w:t>
            </w:r>
          </w:p>
        </w:tc>
        <w:tc>
          <w:tcPr>
            <w:tcW w:type="dxa" w:w="5040"/>
          </w:tcPr>
          <w:p>
            <w:r>
              <w:t>5.195</w:t>
            </w:r>
          </w:p>
        </w:tc>
      </w:tr>
      <w:tr>
        <w:tc>
          <w:tcPr>
            <w:tcW w:type="dxa" w:w="5040"/>
          </w:tcPr>
          <w:p>
            <w:r>
              <w:t>claridad</w:t>
            </w:r>
          </w:p>
        </w:tc>
        <w:tc>
          <w:tcPr>
            <w:tcW w:type="dxa" w:w="5040"/>
          </w:tcPr>
          <w:p>
            <w:r>
              <w:t>5.175</w:t>
            </w:r>
          </w:p>
        </w:tc>
      </w:tr>
      <w:tr>
        <w:tc>
          <w:tcPr>
            <w:tcW w:type="dxa" w:w="5040"/>
          </w:tcPr>
          <w:p>
            <w:r>
              <w:t>organizacion</w:t>
            </w:r>
          </w:p>
        </w:tc>
        <w:tc>
          <w:tcPr>
            <w:tcW w:type="dxa" w:w="5040"/>
          </w:tcPr>
          <w:p>
            <w:r>
              <w:t>5.075</w:t>
            </w:r>
          </w:p>
        </w:tc>
      </w:tr>
      <w:tr>
        <w:tc>
          <w:tcPr>
            <w:tcW w:type="dxa" w:w="5040"/>
          </w:tcPr>
          <w:p>
            <w:r>
              <w:t>satisfaccion</w:t>
            </w:r>
          </w:p>
        </w:tc>
        <w:tc>
          <w:tcPr>
            <w:tcW w:type="dxa" w:w="5040"/>
          </w:tcPr>
          <w:p>
            <w:r>
              <w:t>5.01</w:t>
            </w:r>
          </w:p>
        </w:tc>
      </w:tr>
      <w:tr>
        <w:tc>
          <w:tcPr>
            <w:tcW w:type="dxa" w:w="5040"/>
          </w:tcPr>
          <w:p>
            <w:r>
              <w:t>evaluacion</w:t>
            </w:r>
          </w:p>
        </w:tc>
        <w:tc>
          <w:tcPr>
            <w:tcW w:type="dxa" w:w="5040"/>
          </w:tcPr>
          <w:p>
            <w:r>
              <w:t>4.965</w:t>
            </w:r>
          </w:p>
        </w:tc>
      </w:tr>
      <w:tr>
        <w:tc>
          <w:tcPr>
            <w:tcW w:type="dxa" w:w="5040"/>
          </w:tcPr>
          <w:p>
            <w:r>
              <w:t>uso</w:t>
            </w:r>
          </w:p>
        </w:tc>
        <w:tc>
          <w:tcPr>
            <w:tcW w:type="dxa" w:w="5040"/>
          </w:tcPr>
          <w:p>
            <w:r>
              <w:t>4.85</w:t>
            </w:r>
          </w:p>
        </w:tc>
      </w:tr>
      <w:tr>
        <w:tc>
          <w:tcPr>
            <w:tcW w:type="dxa" w:w="5040"/>
          </w:tcPr>
          <w:p>
            <w:r>
              <w:t>infraestructura</w:t>
            </w:r>
          </w:p>
        </w:tc>
        <w:tc>
          <w:tcPr>
            <w:tcW w:type="dxa" w:w="5040"/>
          </w:tcPr>
          <w:p>
            <w:r>
              <w:t>4.75</w:t>
            </w:r>
          </w:p>
        </w:tc>
      </w:tr>
    </w:tbl>
    <w:p>
      <w:pPr>
        <w:pStyle w:val="Heading1"/>
      </w:pPr>
      <w:r>
        <w:t>11. VARIABLES MÁS VARIABLES</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Desv. estándar</w:t>
            </w:r>
          </w:p>
        </w:tc>
        <w:tc>
          <w:tcPr>
            <w:tcW w:type="dxa" w:w="3360"/>
          </w:tcPr>
          <w:p>
            <w:r>
              <w:t>Rango</w:t>
            </w:r>
          </w:p>
        </w:tc>
      </w:tr>
      <w:tr>
        <w:tc>
          <w:tcPr>
            <w:tcW w:type="dxa" w:w="3360"/>
          </w:tcPr>
          <w:p>
            <w:r>
              <w:t>infraestructura_aulas</w:t>
            </w:r>
          </w:p>
        </w:tc>
        <w:tc>
          <w:tcPr>
            <w:tcW w:type="dxa" w:w="3360"/>
          </w:tcPr>
          <w:p>
            <w:r>
              <w:t>1.3176</w:t>
            </w:r>
          </w:p>
        </w:tc>
        <w:tc>
          <w:tcPr>
            <w:tcW w:type="dxa" w:w="3360"/>
          </w:tcPr>
          <w:p>
            <w:r>
              <w:t>6.0</w:t>
            </w:r>
          </w:p>
        </w:tc>
      </w:tr>
      <w:tr>
        <w:tc>
          <w:tcPr>
            <w:tcW w:type="dxa" w:w="3360"/>
          </w:tcPr>
          <w:p>
            <w:r>
              <w:t>uso_tecnologia</w:t>
            </w:r>
          </w:p>
        </w:tc>
        <w:tc>
          <w:tcPr>
            <w:tcW w:type="dxa" w:w="3360"/>
          </w:tcPr>
          <w:p>
            <w:r>
              <w:t>1.1978</w:t>
            </w:r>
          </w:p>
        </w:tc>
        <w:tc>
          <w:tcPr>
            <w:tcW w:type="dxa" w:w="3360"/>
          </w:tcPr>
          <w:p>
            <w:r>
              <w:t>5.0</w:t>
            </w:r>
          </w:p>
        </w:tc>
      </w:tr>
      <w:tr>
        <w:tc>
          <w:tcPr>
            <w:tcW w:type="dxa" w:w="3360"/>
          </w:tcPr>
          <w:p>
            <w:r>
              <w:t>evaluacion_aprendizaje</w:t>
            </w:r>
          </w:p>
        </w:tc>
        <w:tc>
          <w:tcPr>
            <w:tcW w:type="dxa" w:w="3360"/>
          </w:tcPr>
          <w:p>
            <w:r>
              <w:t>1.175</w:t>
            </w:r>
          </w:p>
        </w:tc>
        <w:tc>
          <w:tcPr>
            <w:tcW w:type="dxa" w:w="3360"/>
          </w:tcPr>
          <w:p>
            <w:r>
              <w:t>5.0</w:t>
            </w:r>
          </w:p>
        </w:tc>
      </w:tr>
      <w:tr>
        <w:tc>
          <w:tcPr>
            <w:tcW w:type="dxa" w:w="3360"/>
          </w:tcPr>
          <w:p>
            <w:r>
              <w:t>organizacion_programa</w:t>
            </w:r>
          </w:p>
        </w:tc>
        <w:tc>
          <w:tcPr>
            <w:tcW w:type="dxa" w:w="3360"/>
          </w:tcPr>
          <w:p>
            <w:r>
              <w:t>1.1731</w:t>
            </w:r>
          </w:p>
        </w:tc>
        <w:tc>
          <w:tcPr>
            <w:tcW w:type="dxa" w:w="3360"/>
          </w:tcPr>
          <w:p>
            <w:r>
              <w:t>5.0</w:t>
            </w:r>
          </w:p>
        </w:tc>
      </w:tr>
      <w:tr>
        <w:tc>
          <w:tcPr>
            <w:tcW w:type="dxa" w:w="3360"/>
          </w:tcPr>
          <w:p>
            <w:r>
              <w:t>claridad_clases</w:t>
            </w:r>
          </w:p>
        </w:tc>
        <w:tc>
          <w:tcPr>
            <w:tcW w:type="dxa" w:w="3360"/>
          </w:tcPr>
          <w:p>
            <w:r>
              <w:t>1.1361</w:t>
            </w:r>
          </w:p>
        </w:tc>
        <w:tc>
          <w:tcPr>
            <w:tcW w:type="dxa" w:w="3360"/>
          </w:tcPr>
          <w:p>
            <w:r>
              <w:t>5.0</w:t>
            </w:r>
          </w:p>
        </w:tc>
      </w:tr>
      <w:tr>
        <w:tc>
          <w:tcPr>
            <w:tcW w:type="dxa" w:w="3360"/>
          </w:tcPr>
          <w:p>
            <w:r>
              <w:t>relevancia_contenidos</w:t>
            </w:r>
          </w:p>
        </w:tc>
        <w:tc>
          <w:tcPr>
            <w:tcW w:type="dxa" w:w="3360"/>
          </w:tcPr>
          <w:p>
            <w:r>
              <w:t>1.0774</w:t>
            </w:r>
          </w:p>
        </w:tc>
        <w:tc>
          <w:tcPr>
            <w:tcW w:type="dxa" w:w="3360"/>
          </w:tcPr>
          <w:p>
            <w:r>
              <w:t>4.0</w:t>
            </w:r>
          </w:p>
        </w:tc>
      </w:tr>
      <w:tr>
        <w:tc>
          <w:tcPr>
            <w:tcW w:type="dxa" w:w="3360"/>
          </w:tcPr>
          <w:p>
            <w:r>
              <w:t>disponibilidad_docentes</w:t>
            </w:r>
          </w:p>
        </w:tc>
        <w:tc>
          <w:tcPr>
            <w:tcW w:type="dxa" w:w="3360"/>
          </w:tcPr>
          <w:p>
            <w:r>
              <w:t>1.0643</w:t>
            </w:r>
          </w:p>
        </w:tc>
        <w:tc>
          <w:tcPr>
            <w:tcW w:type="dxa" w:w="3360"/>
          </w:tcPr>
          <w:p>
            <w:r>
              <w:t>5.0</w:t>
            </w:r>
          </w:p>
        </w:tc>
      </w:tr>
      <w:tr>
        <w:tc>
          <w:tcPr>
            <w:tcW w:type="dxa" w:w="3360"/>
          </w:tcPr>
          <w:p>
            <w:r>
              <w:t>satisfaccion_general</w:t>
            </w:r>
          </w:p>
        </w:tc>
        <w:tc>
          <w:tcPr>
            <w:tcW w:type="dxa" w:w="3360"/>
          </w:tcPr>
          <w:p>
            <w:r>
              <w:t>0.7298</w:t>
            </w:r>
          </w:p>
        </w:tc>
        <w:tc>
          <w:tcPr>
            <w:tcW w:type="dxa" w:w="3360"/>
          </w:tcPr>
          <w:p>
            <w:r>
              <w:t>4.0</w:t>
            </w:r>
          </w:p>
        </w:tc>
      </w:tr>
    </w:tbl>
    <w:p>
      <w:pPr>
        <w:pStyle w:val="Heading1"/>
      </w:pPr>
      <w:r>
        <w:t>12. VARIABLES CLAVE DEL DATASET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Score</w:t>
            </w:r>
          </w:p>
        </w:tc>
        <w:tc>
          <w:tcPr>
            <w:tcW w:type="dxa" w:w="2520"/>
          </w:tcPr>
          <w:p>
            <w:r>
              <w:t>Desv. estándar</w:t>
            </w:r>
          </w:p>
        </w:tc>
        <w:tc>
          <w:tcPr>
            <w:tcW w:type="dxa" w:w="2520"/>
          </w:tcPr>
          <w:p>
            <w:r>
              <w:t>% Missing</w:t>
            </w:r>
          </w:p>
        </w:tc>
      </w:tr>
      <w:tr>
        <w:tc>
          <w:tcPr>
            <w:tcW w:type="dxa" w:w="2520"/>
          </w:tcPr>
          <w:p>
            <w:r>
              <w:t>infraestructura_aulas</w:t>
            </w:r>
          </w:p>
        </w:tc>
        <w:tc>
          <w:tcPr>
            <w:tcW w:type="dxa" w:w="2520"/>
          </w:tcPr>
          <w:p>
            <w:r>
              <w:t>1.3176</w:t>
            </w:r>
          </w:p>
        </w:tc>
        <w:tc>
          <w:tcPr>
            <w:tcW w:type="dxa" w:w="2520"/>
          </w:tcPr>
          <w:p>
            <w:r>
              <w:t>1.3176</w:t>
            </w:r>
          </w:p>
        </w:tc>
        <w:tc>
          <w:tcPr>
            <w:tcW w:type="dxa" w:w="2520"/>
          </w:tcPr>
          <w:p>
            <w:r>
              <w:t>0.0%</w:t>
            </w:r>
          </w:p>
        </w:tc>
      </w:tr>
      <w:tr>
        <w:tc>
          <w:tcPr>
            <w:tcW w:type="dxa" w:w="2520"/>
          </w:tcPr>
          <w:p>
            <w:r>
              <w:t>uso_tecnologia</w:t>
            </w:r>
          </w:p>
        </w:tc>
        <w:tc>
          <w:tcPr>
            <w:tcW w:type="dxa" w:w="2520"/>
          </w:tcPr>
          <w:p>
            <w:r>
              <w:t>1.1978</w:t>
            </w:r>
          </w:p>
        </w:tc>
        <w:tc>
          <w:tcPr>
            <w:tcW w:type="dxa" w:w="2520"/>
          </w:tcPr>
          <w:p>
            <w:r>
              <w:t>1.1978</w:t>
            </w:r>
          </w:p>
        </w:tc>
        <w:tc>
          <w:tcPr>
            <w:tcW w:type="dxa" w:w="2520"/>
          </w:tcPr>
          <w:p>
            <w:r>
              <w:t>0.0%</w:t>
            </w:r>
          </w:p>
        </w:tc>
      </w:tr>
      <w:tr>
        <w:tc>
          <w:tcPr>
            <w:tcW w:type="dxa" w:w="2520"/>
          </w:tcPr>
          <w:p>
            <w:r>
              <w:t>evaluacion_aprendizaje</w:t>
            </w:r>
          </w:p>
        </w:tc>
        <w:tc>
          <w:tcPr>
            <w:tcW w:type="dxa" w:w="2520"/>
          </w:tcPr>
          <w:p>
            <w:r>
              <w:t>1.175</w:t>
            </w:r>
          </w:p>
        </w:tc>
        <w:tc>
          <w:tcPr>
            <w:tcW w:type="dxa" w:w="2520"/>
          </w:tcPr>
          <w:p>
            <w:r>
              <w:t>1.175</w:t>
            </w:r>
          </w:p>
        </w:tc>
        <w:tc>
          <w:tcPr>
            <w:tcW w:type="dxa" w:w="2520"/>
          </w:tcPr>
          <w:p>
            <w:r>
              <w:t>0.0%</w:t>
            </w:r>
          </w:p>
        </w:tc>
      </w:tr>
      <w:tr>
        <w:tc>
          <w:tcPr>
            <w:tcW w:type="dxa" w:w="2520"/>
          </w:tcPr>
          <w:p>
            <w:r>
              <w:t>organizacion_programa</w:t>
            </w:r>
          </w:p>
        </w:tc>
        <w:tc>
          <w:tcPr>
            <w:tcW w:type="dxa" w:w="2520"/>
          </w:tcPr>
          <w:p>
            <w:r>
              <w:t>1.1731</w:t>
            </w:r>
          </w:p>
        </w:tc>
        <w:tc>
          <w:tcPr>
            <w:tcW w:type="dxa" w:w="2520"/>
          </w:tcPr>
          <w:p>
            <w:r>
              <w:t>1.1731</w:t>
            </w:r>
          </w:p>
        </w:tc>
        <w:tc>
          <w:tcPr>
            <w:tcW w:type="dxa" w:w="2520"/>
          </w:tcPr>
          <w:p>
            <w:r>
              <w:t>0.0%</w:t>
            </w:r>
          </w:p>
        </w:tc>
      </w:tr>
      <w:tr>
        <w:tc>
          <w:tcPr>
            <w:tcW w:type="dxa" w:w="2520"/>
          </w:tcPr>
          <w:p>
            <w:r>
              <w:t>claridad_clases</w:t>
            </w:r>
          </w:p>
        </w:tc>
        <w:tc>
          <w:tcPr>
            <w:tcW w:type="dxa" w:w="2520"/>
          </w:tcPr>
          <w:p>
            <w:r>
              <w:t>1.1361</w:t>
            </w:r>
          </w:p>
        </w:tc>
        <w:tc>
          <w:tcPr>
            <w:tcW w:type="dxa" w:w="2520"/>
          </w:tcPr>
          <w:p>
            <w:r>
              <w:t>1.1361</w:t>
            </w:r>
          </w:p>
        </w:tc>
        <w:tc>
          <w:tcPr>
            <w:tcW w:type="dxa" w:w="2520"/>
          </w:tcPr>
          <w:p>
            <w:r>
              <w:t>0.0%</w:t>
            </w:r>
          </w:p>
        </w:tc>
      </w:tr>
      <w:tr>
        <w:tc>
          <w:tcPr>
            <w:tcW w:type="dxa" w:w="2520"/>
          </w:tcPr>
          <w:p>
            <w:r>
              <w:t>relevancia_contenidos</w:t>
            </w:r>
          </w:p>
        </w:tc>
        <w:tc>
          <w:tcPr>
            <w:tcW w:type="dxa" w:w="2520"/>
          </w:tcPr>
          <w:p>
            <w:r>
              <w:t>1.0774</w:t>
            </w:r>
          </w:p>
        </w:tc>
        <w:tc>
          <w:tcPr>
            <w:tcW w:type="dxa" w:w="2520"/>
          </w:tcPr>
          <w:p>
            <w:r>
              <w:t>1.0774</w:t>
            </w:r>
          </w:p>
        </w:tc>
        <w:tc>
          <w:tcPr>
            <w:tcW w:type="dxa" w:w="2520"/>
          </w:tcPr>
          <w:p>
            <w:r>
              <w:t>0.0%</w:t>
            </w:r>
          </w:p>
        </w:tc>
      </w:tr>
      <w:tr>
        <w:tc>
          <w:tcPr>
            <w:tcW w:type="dxa" w:w="2520"/>
          </w:tcPr>
          <w:p>
            <w:r>
              <w:t>disponibilidad_docentes</w:t>
            </w:r>
          </w:p>
        </w:tc>
        <w:tc>
          <w:tcPr>
            <w:tcW w:type="dxa" w:w="2520"/>
          </w:tcPr>
          <w:p>
            <w:r>
              <w:t>1.0643</w:t>
            </w:r>
          </w:p>
        </w:tc>
        <w:tc>
          <w:tcPr>
            <w:tcW w:type="dxa" w:w="2520"/>
          </w:tcPr>
          <w:p>
            <w:r>
              <w:t>1.0643</w:t>
            </w:r>
          </w:p>
        </w:tc>
        <w:tc>
          <w:tcPr>
            <w:tcW w:type="dxa" w:w="2520"/>
          </w:tcPr>
          <w:p>
            <w:r>
              <w:t>0.0%</w:t>
            </w:r>
          </w:p>
        </w:tc>
      </w:tr>
      <w:tr>
        <w:tc>
          <w:tcPr>
            <w:tcW w:type="dxa" w:w="2520"/>
          </w:tcPr>
          <w:p>
            <w:r>
              <w:t>satisfaccion_general</w:t>
            </w:r>
          </w:p>
        </w:tc>
        <w:tc>
          <w:tcPr>
            <w:tcW w:type="dxa" w:w="2520"/>
          </w:tcPr>
          <w:p>
            <w:r>
              <w:t>0.7298</w:t>
            </w:r>
          </w:p>
        </w:tc>
        <w:tc>
          <w:tcPr>
            <w:tcW w:type="dxa" w:w="2520"/>
          </w:tcPr>
          <w:p>
            <w:r>
              <w:t>0.7298</w:t>
            </w:r>
          </w:p>
        </w:tc>
        <w:tc>
          <w:tcPr>
            <w:tcW w:type="dxa" w:w="2520"/>
          </w:tcPr>
          <w:p>
            <w:r>
              <w:t>0.0%</w:t>
            </w:r>
          </w:p>
        </w:tc>
      </w:tr>
    </w:tbl>
    <w:p>
      <w:pPr>
        <w:pStyle w:val="Heading1"/>
      </w:pPr>
      <w:r>
        <w:t>13. VARIABLE OBJETIVO SUGERIDA</w:t>
      </w:r>
    </w:p>
    <w:p>
      <w:r>
        <w:t>Variable detectada: infraestructura_aulas</w:t>
      </w:r>
    </w:p>
    <w:p>
      <w:r>
        <w:t>Tipo de problema: regression</w:t>
      </w:r>
    </w:p>
    <w:p>
      <w:r>
        <w:t>SADI seleccionó 'infraestructura_aulas' como variable objetivo porque presenta variabilidad útil.</w:t>
      </w:r>
    </w:p>
    <w:p>
      <w:pPr>
        <w:pStyle w:val="Heading1"/>
      </w:pPr>
      <w:r>
        <w:t>14. CANDIDATOS A VARIABLE OBJETIVO</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Tipo</w:t>
            </w:r>
          </w:p>
        </w:tc>
        <w:tc>
          <w:tcPr>
            <w:tcW w:type="dxa" w:w="2520"/>
          </w:tcPr>
          <w:p>
            <w:r>
              <w:t>Score</w:t>
            </w:r>
          </w:p>
        </w:tc>
        <w:tc>
          <w:tcPr>
            <w:tcW w:type="dxa" w:w="2520"/>
          </w:tcPr>
          <w:p>
            <w:r>
              <w:t>Motivo</w:t>
            </w:r>
          </w:p>
        </w:tc>
      </w:tr>
      <w:tr>
        <w:tc>
          <w:tcPr>
            <w:tcW w:type="dxa" w:w="2520"/>
          </w:tcPr>
          <w:p>
            <w:r>
              <w:t>infraestructura_aulas</w:t>
            </w:r>
          </w:p>
        </w:tc>
        <w:tc>
          <w:tcPr>
            <w:tcW w:type="dxa" w:w="2520"/>
          </w:tcPr>
          <w:p>
            <w:r>
              <w:t>regression</w:t>
            </w:r>
          </w:p>
        </w:tc>
        <w:tc>
          <w:tcPr>
            <w:tcW w:type="dxa" w:w="2520"/>
          </w:tcPr>
          <w:p>
            <w:r>
              <w:t>4.3776</w:t>
            </w:r>
          </w:p>
        </w:tc>
        <w:tc>
          <w:tcPr>
            <w:tcW w:type="dxa" w:w="2520"/>
          </w:tcPr>
          <w:p>
            <w:r>
              <w:t>variabilidad útil</w:t>
            </w:r>
          </w:p>
        </w:tc>
      </w:tr>
      <w:tr>
        <w:tc>
          <w:tcPr>
            <w:tcW w:type="dxa" w:w="2520"/>
          </w:tcPr>
          <w:p>
            <w:r>
              <w:t>uso_tecnologia</w:t>
            </w:r>
          </w:p>
        </w:tc>
        <w:tc>
          <w:tcPr>
            <w:tcW w:type="dxa" w:w="2520"/>
          </w:tcPr>
          <w:p>
            <w:r>
              <w:t>regression</w:t>
            </w:r>
          </w:p>
        </w:tc>
        <w:tc>
          <w:tcPr>
            <w:tcW w:type="dxa" w:w="2520"/>
          </w:tcPr>
          <w:p>
            <w:r>
              <w:t>4.2478</w:t>
            </w:r>
          </w:p>
        </w:tc>
        <w:tc>
          <w:tcPr>
            <w:tcW w:type="dxa" w:w="2520"/>
          </w:tcPr>
          <w:p>
            <w:r>
              <w:t>variabilidad útil</w:t>
            </w:r>
          </w:p>
        </w:tc>
      </w:tr>
      <w:tr>
        <w:tc>
          <w:tcPr>
            <w:tcW w:type="dxa" w:w="2520"/>
          </w:tcPr>
          <w:p>
            <w:r>
              <w:t>evaluacion_aprendizaje</w:t>
            </w:r>
          </w:p>
        </w:tc>
        <w:tc>
          <w:tcPr>
            <w:tcW w:type="dxa" w:w="2520"/>
          </w:tcPr>
          <w:p>
            <w:r>
              <w:t>regression</w:t>
            </w:r>
          </w:p>
        </w:tc>
        <w:tc>
          <w:tcPr>
            <w:tcW w:type="dxa" w:w="2520"/>
          </w:tcPr>
          <w:p>
            <w:r>
              <w:t>4.225</w:t>
            </w:r>
          </w:p>
        </w:tc>
        <w:tc>
          <w:tcPr>
            <w:tcW w:type="dxa" w:w="2520"/>
          </w:tcPr>
          <w:p>
            <w:r>
              <w:t>variabilidad útil</w:t>
            </w:r>
          </w:p>
        </w:tc>
      </w:tr>
      <w:tr>
        <w:tc>
          <w:tcPr>
            <w:tcW w:type="dxa" w:w="2520"/>
          </w:tcPr>
          <w:p>
            <w:r>
              <w:t>organizacion_programa</w:t>
            </w:r>
          </w:p>
        </w:tc>
        <w:tc>
          <w:tcPr>
            <w:tcW w:type="dxa" w:w="2520"/>
          </w:tcPr>
          <w:p>
            <w:r>
              <w:t>regression</w:t>
            </w:r>
          </w:p>
        </w:tc>
        <w:tc>
          <w:tcPr>
            <w:tcW w:type="dxa" w:w="2520"/>
          </w:tcPr>
          <w:p>
            <w:r>
              <w:t>4.2231</w:t>
            </w:r>
          </w:p>
        </w:tc>
        <w:tc>
          <w:tcPr>
            <w:tcW w:type="dxa" w:w="2520"/>
          </w:tcPr>
          <w:p>
            <w:r>
              <w:t>variabilidad útil</w:t>
            </w:r>
          </w:p>
        </w:tc>
      </w:tr>
      <w:tr>
        <w:tc>
          <w:tcPr>
            <w:tcW w:type="dxa" w:w="2520"/>
          </w:tcPr>
          <w:p>
            <w:r>
              <w:t>claridad_clases</w:t>
            </w:r>
          </w:p>
        </w:tc>
        <w:tc>
          <w:tcPr>
            <w:tcW w:type="dxa" w:w="2520"/>
          </w:tcPr>
          <w:p>
            <w:r>
              <w:t>regression</w:t>
            </w:r>
          </w:p>
        </w:tc>
        <w:tc>
          <w:tcPr>
            <w:tcW w:type="dxa" w:w="2520"/>
          </w:tcPr>
          <w:p>
            <w:r>
              <w:t>4.1861</w:t>
            </w:r>
          </w:p>
        </w:tc>
        <w:tc>
          <w:tcPr>
            <w:tcW w:type="dxa" w:w="2520"/>
          </w:tcPr>
          <w:p>
            <w:r>
              <w:t>variabilidad útil</w:t>
            </w:r>
          </w:p>
        </w:tc>
      </w:tr>
      <w:tr>
        <w:tc>
          <w:tcPr>
            <w:tcW w:type="dxa" w:w="2520"/>
          </w:tcPr>
          <w:p>
            <w:r>
              <w:t>relevancia_contenidos</w:t>
            </w:r>
          </w:p>
        </w:tc>
        <w:tc>
          <w:tcPr>
            <w:tcW w:type="dxa" w:w="2520"/>
          </w:tcPr>
          <w:p>
            <w:r>
              <w:t>regression</w:t>
            </w:r>
          </w:p>
        </w:tc>
        <w:tc>
          <w:tcPr>
            <w:tcW w:type="dxa" w:w="2520"/>
          </w:tcPr>
          <w:p>
            <w:r>
              <w:t>4.1174</w:t>
            </w:r>
          </w:p>
        </w:tc>
        <w:tc>
          <w:tcPr>
            <w:tcW w:type="dxa" w:w="2520"/>
          </w:tcPr>
          <w:p>
            <w:r>
              <w:t>variabilidad útil</w:t>
            </w:r>
          </w:p>
        </w:tc>
      </w:tr>
      <w:tr>
        <w:tc>
          <w:tcPr>
            <w:tcW w:type="dxa" w:w="2520"/>
          </w:tcPr>
          <w:p>
            <w:r>
              <w:t>disponibilidad_docentes</w:t>
            </w:r>
          </w:p>
        </w:tc>
        <w:tc>
          <w:tcPr>
            <w:tcW w:type="dxa" w:w="2520"/>
          </w:tcPr>
          <w:p>
            <w:r>
              <w:t>regression</w:t>
            </w:r>
          </w:p>
        </w:tc>
        <w:tc>
          <w:tcPr>
            <w:tcW w:type="dxa" w:w="2520"/>
          </w:tcPr>
          <w:p>
            <w:r>
              <w:t>4.1143</w:t>
            </w:r>
          </w:p>
        </w:tc>
        <w:tc>
          <w:tcPr>
            <w:tcW w:type="dxa" w:w="2520"/>
          </w:tcPr>
          <w:p>
            <w:r>
              <w:t>variabilidad útil</w:t>
            </w:r>
          </w:p>
        </w:tc>
      </w:tr>
      <w:tr>
        <w:tc>
          <w:tcPr>
            <w:tcW w:type="dxa" w:w="2520"/>
          </w:tcPr>
          <w:p>
            <w:r>
              <w:t>satisfaccion_general</w:t>
            </w:r>
          </w:p>
        </w:tc>
        <w:tc>
          <w:tcPr>
            <w:tcW w:type="dxa" w:w="2520"/>
          </w:tcPr>
          <w:p>
            <w:r>
              <w:t>regression</w:t>
            </w:r>
          </w:p>
        </w:tc>
        <w:tc>
          <w:tcPr>
            <w:tcW w:type="dxa" w:w="2520"/>
          </w:tcPr>
          <w:p>
            <w:r>
              <w:t>3.7698</w:t>
            </w:r>
          </w:p>
        </w:tc>
        <w:tc>
          <w:tcPr>
            <w:tcW w:type="dxa" w:w="2520"/>
          </w:tcPr>
          <w:p>
            <w:r>
              <w:t>variabilidad útil</w:t>
            </w:r>
          </w:p>
        </w:tc>
      </w:tr>
    </w:tbl>
    <w:p>
      <w:pPr>
        <w:pStyle w:val="Heading1"/>
      </w:pPr>
      <w:r>
        <w:t>Anexo A. Gráficos exploratorios</w:t>
      </w:r>
    </w:p>
    <w:p>
      <w:pPr>
        <w:keepNext/>
      </w:pPr>
      <w:r>
        <w:rPr>
          <w:b/>
          <w:sz w:val="24"/>
        </w:rPr>
        <w:t>Figura A1. Consistencia interna (Alfa de Cronbach)</w:t>
      </w:r>
    </w:p>
    <w:p>
      <w:pPr>
        <w:keepNext/>
      </w:pPr>
      <w:r>
        <w:rPr>
          <w:i/>
        </w:rPr>
        <w:t>Tipo: Psicométrico</w:t>
      </w:r>
    </w:p>
    <w:p>
      <w:pPr>
        <w:keepNext/>
      </w:pPr>
      <w:r>
        <w:t>Resume la consistencia interna del instrumento mediante el alfa de Cronbach.</w:t>
      </w:r>
    </w:p>
    <w:p>
      <w:r>
        <w:drawing>
          <wp:inline xmlns:a="http://schemas.openxmlformats.org/drawingml/2006/main" xmlns:pic="http://schemas.openxmlformats.org/drawingml/2006/picture">
            <wp:extent cx="5486400" cy="1898610"/>
            <wp:docPr id="1" name="Picture 1"/>
            <wp:cNvGraphicFramePr>
              <a:graphicFrameLocks noChangeAspect="1"/>
            </wp:cNvGraphicFramePr>
            <a:graphic>
              <a:graphicData uri="http://schemas.openxmlformats.org/drawingml/2006/picture">
                <pic:pic>
                  <pic:nvPicPr>
                    <pic:cNvPr id="0" name="ds28_cronbach.png"/>
                    <pic:cNvPicPr/>
                  </pic:nvPicPr>
                  <pic:blipFill>
                    <a:blip r:embed="rId9"/>
                    <a:stretch>
                      <a:fillRect/>
                    </a:stretch>
                  </pic:blipFill>
                  <pic:spPr>
                    <a:xfrm>
                      <a:off x="0" y="0"/>
                      <a:ext cx="5486400" cy="1898610"/>
                    </a:xfrm>
                    <a:prstGeom prst="rect"/>
                  </pic:spPr>
                </pic:pic>
              </a:graphicData>
            </a:graphic>
          </wp:inline>
        </w:drawing>
      </w:r>
    </w:p>
    <w:p/>
    <w:p>
      <w:pPr>
        <w:keepNext/>
      </w:pPr>
      <w:r>
        <w:rPr>
          <w:b/>
          <w:sz w:val="24"/>
        </w:rPr>
        <w:t>Figura A2. Dimension Summary Scores</w:t>
      </w:r>
    </w:p>
    <w:p>
      <w:pPr>
        <w:keepNext/>
      </w:pPr>
      <w:r>
        <w:rPr>
          <w:i/>
        </w:rPr>
        <w:t>Tipo: Analítico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2638681"/>
            <wp:docPr id="2" name="Picture 2"/>
            <wp:cNvGraphicFramePr>
              <a:graphicFrameLocks noChangeAspect="1"/>
            </wp:cNvGraphicFramePr>
            <a:graphic>
              <a:graphicData uri="http://schemas.openxmlformats.org/drawingml/2006/picture">
                <pic:pic>
                  <pic:nvPicPr>
                    <pic:cNvPr id="0" name="ds28_dimension_summary_scores.png"/>
                    <pic:cNvPicPr/>
                  </pic:nvPicPr>
                  <pic:blipFill>
                    <a:blip r:embed="rId10"/>
                    <a:stretch>
                      <a:fillRect/>
                    </a:stretch>
                  </pic:blipFill>
                  <pic:spPr>
                    <a:xfrm>
                      <a:off x="0" y="0"/>
                      <a:ext cx="5486400" cy="2638681"/>
                    </a:xfrm>
                    <a:prstGeom prst="rect"/>
                  </pic:spPr>
                </pic:pic>
              </a:graphicData>
            </a:graphic>
          </wp:inline>
        </w:drawing>
      </w:r>
    </w:p>
    <w:p/>
    <w:p>
      <w:pPr>
        <w:keepNext/>
      </w:pPr>
      <w:r>
        <w:rPr>
          <w:b/>
          <w:sz w:val="24"/>
        </w:rPr>
        <w:t>Figura A3. Resumen Likert por ítem</w:t>
      </w:r>
    </w:p>
    <w:p>
      <w:pPr>
        <w:keepNext/>
      </w:pPr>
      <w:r>
        <w:rPr>
          <w:i/>
        </w:rPr>
        <w:t>Tipo: Comparativo</w:t>
      </w:r>
    </w:p>
    <w:p>
      <w:pPr>
        <w:keepNext/>
      </w:pPr>
      <w:r>
        <w:t>Compara los promedios obtenidos entre los ítems del instrumento Likert.</w:t>
      </w:r>
    </w:p>
    <w:p>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ds28_likert_summary_scores.png"/>
                    <pic:cNvPicPr/>
                  </pic:nvPicPr>
                  <pic:blipFill>
                    <a:blip r:embed="rId11"/>
                    <a:stretch>
                      <a:fillRect/>
                    </a:stretch>
                  </pic:blipFill>
                  <pic:spPr>
                    <a:xfrm>
                      <a:off x="0" y="0"/>
                      <a:ext cx="5486400" cy="2194560"/>
                    </a:xfrm>
                    <a:prstGeom prst="rect"/>
                  </pic:spPr>
                </pic:pic>
              </a:graphicData>
            </a:graphic>
          </wp:inline>
        </w:drawing>
      </w:r>
    </w:p>
    <w:p/>
    <w:p>
      <w:pPr>
        <w:keepNext/>
      </w:pPr>
      <w:r>
        <w:rPr>
          <w:b/>
          <w:sz w:val="24"/>
        </w:rPr>
        <w:t>Figura A4. Dimension Radar</w:t>
      </w:r>
    </w:p>
    <w:p>
      <w:pPr>
        <w:keepNext/>
      </w:pPr>
      <w:r>
        <w:rPr>
          <w:i/>
        </w:rPr>
        <w:t>Tipo: Comparativo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5301762"/>
            <wp:docPr id="4" name="Picture 4"/>
            <wp:cNvGraphicFramePr>
              <a:graphicFrameLocks noChangeAspect="1"/>
            </wp:cNvGraphicFramePr>
            <a:graphic>
              <a:graphicData uri="http://schemas.openxmlformats.org/drawingml/2006/picture">
                <pic:pic>
                  <pic:nvPicPr>
                    <pic:cNvPr id="0" name="ds28_dimension_radar.png"/>
                    <pic:cNvPicPr/>
                  </pic:nvPicPr>
                  <pic:blipFill>
                    <a:blip r:embed="rId12"/>
                    <a:stretch>
                      <a:fillRect/>
                    </a:stretch>
                  </pic:blipFill>
                  <pic:spPr>
                    <a:xfrm>
                      <a:off x="0" y="0"/>
                      <a:ext cx="5486400" cy="5301762"/>
                    </a:xfrm>
                    <a:prstGeom prst="rect"/>
                  </pic:spPr>
                </pic:pic>
              </a:graphicData>
            </a:graphic>
          </wp:inline>
        </w:drawing>
      </w:r>
    </w:p>
    <w:p/>
    <w:p>
      <w:pPr>
        <w:keepNext/>
      </w:pPr>
      <w:r>
        <w:rPr>
          <w:b/>
          <w:sz w:val="24"/>
        </w:rPr>
        <w:t>Figura A5. Gráfico Likert divergente</w:t>
      </w:r>
    </w:p>
    <w:p>
      <w:pPr>
        <w:keepNext/>
      </w:pPr>
      <w:r>
        <w:rPr>
          <w:i/>
        </w:rPr>
        <w:t>Tipo: Comparativo</w:t>
      </w:r>
    </w:p>
    <w:p>
      <w:pPr>
        <w:keepNext/>
      </w:pPr>
      <w:r>
        <w:t>Resume la distribución porcentual de respuestas por ítem en formato divergente.</w:t>
      </w:r>
    </w:p>
    <w:p>
      <w:r>
        <w:drawing>
          <wp:inline xmlns:a="http://schemas.openxmlformats.org/drawingml/2006/main" xmlns:pic="http://schemas.openxmlformats.org/drawingml/2006/picture">
            <wp:extent cx="5486400" cy="2248249"/>
            <wp:docPr id="5" name="Picture 5"/>
            <wp:cNvGraphicFramePr>
              <a:graphicFrameLocks noChangeAspect="1"/>
            </wp:cNvGraphicFramePr>
            <a:graphic>
              <a:graphicData uri="http://schemas.openxmlformats.org/drawingml/2006/picture">
                <pic:pic>
                  <pic:nvPicPr>
                    <pic:cNvPr id="0" name="ds28_likert_divergent.png"/>
                    <pic:cNvPicPr/>
                  </pic:nvPicPr>
                  <pic:blipFill>
                    <a:blip r:embed="rId13"/>
                    <a:stretch>
                      <a:fillRect/>
                    </a:stretch>
                  </pic:blipFill>
                  <pic:spPr>
                    <a:xfrm>
                      <a:off x="0" y="0"/>
                      <a:ext cx="5486400" cy="2248249"/>
                    </a:xfrm>
                    <a:prstGeom prst="rect"/>
                  </pic:spPr>
                </pic:pic>
              </a:graphicData>
            </a:graphic>
          </wp:inline>
        </w:drawing>
      </w:r>
    </w:p>
    <w:p/>
    <w:p>
      <w:pPr>
        <w:keepNext/>
      </w:pPr>
      <w:r>
        <w:rPr>
          <w:b/>
          <w:sz w:val="24"/>
        </w:rPr>
        <w:t>Figura A6. Gráfico de sedimentación (Scree Plot)</w:t>
      </w:r>
    </w:p>
    <w:p>
      <w:pPr>
        <w:keepNext/>
      </w:pPr>
      <w:r>
        <w:rPr>
          <w:i/>
        </w:rPr>
        <w:t>Tipo: Factorial</w:t>
      </w:r>
    </w:p>
    <w:p>
      <w:pPr>
        <w:keepNext/>
      </w:pPr>
      <w:r>
        <w:t>Ayuda a identificar el número adecuado de factores mediante los autovalores observados.</w:t>
      </w:r>
    </w:p>
    <w:p>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ds28_scree_plot.png"/>
                    <pic:cNvPicPr/>
                  </pic:nvPicPr>
                  <pic:blipFill>
                    <a:blip r:embed="rId14"/>
                    <a:stretch>
                      <a:fillRect/>
                    </a:stretch>
                  </pic:blipFill>
                  <pic:spPr>
                    <a:xfrm>
                      <a:off x="0" y="0"/>
                      <a:ext cx="5486400" cy="4114800"/>
                    </a:xfrm>
                    <a:prstGeom prst="rect"/>
                  </pic:spPr>
                </pic:pic>
              </a:graphicData>
            </a:graphic>
          </wp:inline>
        </w:drawing>
      </w:r>
    </w:p>
    <w:p/>
    <w:p>
      <w:pPr>
        <w:keepNext/>
      </w:pPr>
      <w:r>
        <w:rPr>
          <w:b/>
          <w:sz w:val="24"/>
        </w:rPr>
        <w:t>Figura A7. Cargas factoriales</w:t>
      </w:r>
    </w:p>
    <w:p>
      <w:pPr>
        <w:keepNext/>
      </w:pPr>
      <w:r>
        <w:rPr>
          <w:i/>
        </w:rPr>
        <w:t>Tipo: Factorial</w:t>
      </w:r>
    </w:p>
    <w:p>
      <w:pPr>
        <w:keepNext/>
      </w:pPr>
      <w:r>
        <w:t>Presenta las cargas factoriales de los ítems en cada factor extraído.</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ds28_factor_loadings.png"/>
                    <pic:cNvPicPr/>
                  </pic:nvPicPr>
                  <pic:blipFill>
                    <a:blip r:embed="rId15"/>
                    <a:stretch>
                      <a:fillRect/>
                    </a:stretch>
                  </pic:blipFill>
                  <pic:spPr>
                    <a:xfrm>
                      <a:off x="0" y="0"/>
                      <a:ext cx="5486400" cy="2743200"/>
                    </a:xfrm>
                    <a:prstGeom prst="rect"/>
                  </pic:spPr>
                </pic:pic>
              </a:graphicData>
            </a:graphic>
          </wp:inline>
        </w:drawing>
      </w:r>
    </w:p>
    <w:p/>
    <w:p>
      <w:pPr>
        <w:keepNext/>
      </w:pPr>
      <w:r>
        <w:rPr>
          <w:b/>
          <w:sz w:val="24"/>
        </w:rPr>
        <w:t>Figura A8. Group Centroids</w:t>
      </w:r>
    </w:p>
    <w:p>
      <w:pPr>
        <w:keepNext/>
      </w:pPr>
      <w:r>
        <w:rPr>
          <w:i/>
        </w:rPr>
        <w:t>Tipo: Analítico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3880301"/>
            <wp:docPr id="8" name="Picture 8"/>
            <wp:cNvGraphicFramePr>
              <a:graphicFrameLocks noChangeAspect="1"/>
            </wp:cNvGraphicFramePr>
            <a:graphic>
              <a:graphicData uri="http://schemas.openxmlformats.org/drawingml/2006/picture">
                <pic:pic>
                  <pic:nvPicPr>
                    <pic:cNvPr id="0" name="ds28_group_centroids.png"/>
                    <pic:cNvPicPr/>
                  </pic:nvPicPr>
                  <pic:blipFill>
                    <a:blip r:embed="rId16"/>
                    <a:stretch>
                      <a:fillRect/>
                    </a:stretch>
                  </pic:blipFill>
                  <pic:spPr>
                    <a:xfrm>
                      <a:off x="0" y="0"/>
                      <a:ext cx="5486400" cy="3880301"/>
                    </a:xfrm>
                    <a:prstGeom prst="rect"/>
                  </pic:spPr>
                </pic:pic>
              </a:graphicData>
            </a:graphic>
          </wp:inline>
        </w:drawing>
      </w:r>
    </w:p>
    <w:p/>
    <w:p>
      <w:pPr>
        <w:keepNext/>
      </w:pPr>
      <w:r>
        <w:rPr>
          <w:b/>
          <w:sz w:val="24"/>
        </w:rPr>
        <w:t>Figura A9. Group Pca</w:t>
      </w:r>
    </w:p>
    <w:p>
      <w:pPr>
        <w:keepNext/>
      </w:pPr>
      <w:r>
        <w:rPr>
          <w:i/>
        </w:rPr>
        <w:t>Tipo: Analítico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3880301"/>
            <wp:docPr id="9" name="Picture 9"/>
            <wp:cNvGraphicFramePr>
              <a:graphicFrameLocks noChangeAspect="1"/>
            </wp:cNvGraphicFramePr>
            <a:graphic>
              <a:graphicData uri="http://schemas.openxmlformats.org/drawingml/2006/picture">
                <pic:pic>
                  <pic:nvPicPr>
                    <pic:cNvPr id="0" name="ds28_group_pca.png"/>
                    <pic:cNvPicPr/>
                  </pic:nvPicPr>
                  <pic:blipFill>
                    <a:blip r:embed="rId17"/>
                    <a:stretch>
                      <a:fillRect/>
                    </a:stretch>
                  </pic:blipFill>
                  <pic:spPr>
                    <a:xfrm>
                      <a:off x="0" y="0"/>
                      <a:ext cx="5486400" cy="3880301"/>
                    </a:xfrm>
                    <a:prstGeom prst="rect"/>
                  </pic:spPr>
                </pic:pic>
              </a:graphicData>
            </a:graphic>
          </wp:inline>
        </w:drawing>
      </w:r>
    </w:p>
    <w:p/>
    <w:p>
      <w:pPr>
        <w:keepNext/>
      </w:pPr>
      <w:r>
        <w:rPr>
          <w:b/>
          <w:sz w:val="24"/>
        </w:rPr>
        <w:t>Figura A10. Group Distances</w:t>
      </w:r>
    </w:p>
    <w:p>
      <w:pPr>
        <w:keepNext/>
      </w:pPr>
      <w:r>
        <w:rPr>
          <w:i/>
        </w:rPr>
        <w:t>Tipo: Analítico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4762685"/>
            <wp:docPr id="10" name="Picture 10"/>
            <wp:cNvGraphicFramePr>
              <a:graphicFrameLocks noChangeAspect="1"/>
            </wp:cNvGraphicFramePr>
            <a:graphic>
              <a:graphicData uri="http://schemas.openxmlformats.org/drawingml/2006/picture">
                <pic:pic>
                  <pic:nvPicPr>
                    <pic:cNvPr id="0" name="ds28_group_distances.png"/>
                    <pic:cNvPicPr/>
                  </pic:nvPicPr>
                  <pic:blipFill>
                    <a:blip r:embed="rId18"/>
                    <a:stretch>
                      <a:fillRect/>
                    </a:stretch>
                  </pic:blipFill>
                  <pic:spPr>
                    <a:xfrm>
                      <a:off x="0" y="0"/>
                      <a:ext cx="5486400" cy="4762685"/>
                    </a:xfrm>
                    <a:prstGeom prst="rect"/>
                  </pic:spPr>
                </pic:pic>
              </a:graphicData>
            </a:graphic>
          </wp:inline>
        </w:drawing>
      </w:r>
    </w:p>
    <w:p/>
    <w:p>
      <w:pPr>
        <w:pStyle w:val="Heading1"/>
      </w:pPr>
      <w:r>
        <w:t>16. RESULTADOS DEL MODELO PREDICTIVO</w:t>
      </w:r>
    </w:p>
    <w:p>
      <w:pPr>
        <w:pStyle w:val="Heading2"/>
      </w:pPr>
      <w:r>
        <w:t>16.1 Contexto del modelado</w:t>
      </w:r>
    </w:p>
    <w:p>
      <w:r>
        <w:t>Variable objetivo detectada: infraestructura_aulas</w:t>
      </w:r>
    </w:p>
    <w:p>
      <w:r>
        <w:t>Tipo de problema: regression</w:t>
      </w:r>
    </w:p>
    <w:p>
      <w:r>
        <w:t>Modelo sugerido por SADI: No sugerido</w:t>
      </w:r>
    </w:p>
    <w:p>
      <w:r>
        <w:t>Justificación automática: SADI seleccionó 'infraestructura_aulas' como variable objetivo porque presenta variabilidad útil.</w:t>
      </w:r>
    </w:p>
    <w:p>
      <w:pPr>
        <w:pStyle w:val="Heading2"/>
      </w:pPr>
      <w:r>
        <w:t>16.2 Evaluación automática del modelo</w:t>
      </w:r>
    </w:p>
    <w:p>
      <w:pPr>
        <w:pStyle w:val="ListBullet"/>
      </w:pPr>
      <w:r>
        <w:t>SADI recomienda priorizar la regresión lineal para este dataset.</w:t>
      </w:r>
    </w:p>
    <w:p>
      <w:pPr>
        <w:pStyle w:val="Heading2"/>
      </w:pPr>
      <w:r>
        <w:t>16.3 Comparación automática de modelos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Modelo</w:t>
            </w:r>
          </w:p>
        </w:tc>
        <w:tc>
          <w:tcPr>
            <w:tcW w:type="dxa" w:w="2520"/>
          </w:tcPr>
          <w:p>
            <w:r>
              <w:t>R²</w:t>
            </w:r>
          </w:p>
        </w:tc>
        <w:tc>
          <w:tcPr>
            <w:tcW w:type="dxa" w:w="2520"/>
          </w:tcPr>
          <w:p>
            <w:r>
              <w:t>MAE</w:t>
            </w:r>
          </w:p>
        </w:tc>
        <w:tc>
          <w:tcPr>
            <w:tcW w:type="dxa" w:w="2520"/>
          </w:tcPr>
          <w:p>
            <w:r>
              <w:t>RMSE</w:t>
            </w:r>
          </w:p>
        </w:tc>
      </w:tr>
      <w:tr>
        <w:tc>
          <w:tcPr>
            <w:tcW w:type="dxa" w:w="2520"/>
          </w:tcPr>
          <w:p>
            <w:r>
              <w:t>Regresión lineal</w:t>
            </w:r>
          </w:p>
        </w:tc>
        <w:tc>
          <w:tcPr>
            <w:tcW w:type="dxa" w:w="2520"/>
          </w:tcPr>
          <w:p>
            <w:r>
              <w:t>0.240013</w:t>
            </w:r>
          </w:p>
        </w:tc>
        <w:tc>
          <w:tcPr>
            <w:tcW w:type="dxa" w:w="2520"/>
          </w:tcPr>
          <w:p>
            <w:r>
              <w:t>0.918154</w:t>
            </w:r>
          </w:p>
        </w:tc>
        <w:tc>
          <w:tcPr>
            <w:tcW w:type="dxa" w:w="2520"/>
          </w:tcPr>
          <w:p>
            <w:r>
              <w:t>1.150739</w:t>
            </w:r>
          </w:p>
        </w:tc>
      </w:tr>
      <w:tr>
        <w:tc>
          <w:tcPr>
            <w:tcW w:type="dxa" w:w="2520"/>
          </w:tcPr>
          <w:p>
            <w:r>
              <w:t>Random Forest</w:t>
            </w:r>
          </w:p>
        </w:tc>
        <w:tc>
          <w:tcPr>
            <w:tcW w:type="dxa" w:w="2520"/>
          </w:tcPr>
          <w:p>
            <w:r>
              <w:t>0.210893</w:t>
            </w:r>
          </w:p>
        </w:tc>
        <w:tc>
          <w:tcPr>
            <w:tcW w:type="dxa" w:w="2520"/>
          </w:tcPr>
          <w:p>
            <w:r>
              <w:t>0.911533</w:t>
            </w:r>
          </w:p>
        </w:tc>
        <w:tc>
          <w:tcPr>
            <w:tcW w:type="dxa" w:w="2520"/>
          </w:tcPr>
          <w:p>
            <w:r>
              <w:t>1.172578</w:t>
            </w:r>
          </w:p>
        </w:tc>
      </w:tr>
    </w:tbl>
    <w:p>
      <w:r>
        <w:t>Modelo recomendado por SADI: Regresión lineal</w:t>
      </w:r>
    </w:p>
    <w:p>
      <w:r>
        <w:t>Interpretación comparativa: SADI recomienda priorizar la regresión lineal para este dataset.</w:t>
      </w:r>
    </w:p>
    <w:p>
      <w:pPr>
        <w:pStyle w:val="ListBullet"/>
      </w:pPr>
      <w:r>
        <w:t>La regresión lineal supera a Random Forest en capacidad explicativa.</w:t>
      </w:r>
    </w:p>
    <w:p>
      <w:pPr>
        <w:pStyle w:val="ListBullet"/>
      </w:pPr>
      <w:r>
        <w:t>La regresión lineal presenta menor error de predicción (RMSE).</w:t>
      </w:r>
    </w:p>
    <w:p>
      <w:pPr>
        <w:pStyle w:val="ListBullet"/>
      </w:pPr>
      <w:r>
        <w:t>Random Forest también reduce el error absoluto medio.</w:t>
      </w:r>
    </w:p>
    <w:p>
      <w:pPr>
        <w:pStyle w:val="Heading2"/>
      </w:pPr>
      <w:r>
        <w:t>16.4 Selección inteligente del mejor modelo</w:t>
      </w:r>
    </w:p>
    <w:p>
      <w:r>
        <w:t>Variable objetivo: infraestructura_aulas</w:t>
      </w:r>
    </w:p>
    <w:p>
      <w:r>
        <w:t>Tipo de problema: regression</w:t>
      </w:r>
    </w:p>
    <w:p>
      <w:r>
        <w:t>Modelo preferido por SADI: Regresión lineal</w:t>
      </w:r>
    </w:p>
    <w:p>
      <w:r>
        <w:t>Razón: SADI recomienda priorizar la regresión lineal para este dataset.</w:t>
      </w:r>
    </w:p>
    <w:p>
      <w:pPr>
        <w:pStyle w:val="ListBullet"/>
      </w:pPr>
      <w:r>
        <w:t>La regresión lineal supera a Random Forest en capacidad explicativa.</w:t>
      </w:r>
    </w:p>
    <w:p>
      <w:pPr>
        <w:pStyle w:val="ListBullet"/>
      </w:pPr>
      <w:r>
        <w:t>La regresión lineal presenta menor error de predicción (RMSE).</w:t>
      </w:r>
    </w:p>
    <w:p>
      <w:pPr>
        <w:pStyle w:val="ListBullet"/>
      </w:pPr>
      <w:r>
        <w:t>Random Forest también reduce el error absoluto medio.</w:t>
      </w:r>
    </w:p>
    <w:p>
      <w:pPr>
        <w:pStyle w:val="Heading1"/>
      </w:pPr>
      <w:r>
        <w:t>Anexo B. Gráficos del modelo predictivo</w:t>
      </w:r>
    </w:p>
    <w:p>
      <w:pPr>
        <w:keepNext/>
      </w:pPr>
      <w:r>
        <w:rPr>
          <w:b/>
          <w:sz w:val="24"/>
        </w:rPr>
        <w:t>Figura B1. Regression Coefficients</w:t>
      </w:r>
    </w:p>
    <w:p>
      <w:pPr>
        <w:keepNext/>
      </w:pPr>
      <w:r>
        <w:rPr>
          <w:i/>
        </w:rPr>
        <w:t>Tipo: Modelo predictivo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3972622"/>
            <wp:docPr id="11" name="Picture 11"/>
            <wp:cNvGraphicFramePr>
              <a:graphicFrameLocks noChangeAspect="1"/>
            </wp:cNvGraphicFramePr>
            <a:graphic>
              <a:graphicData uri="http://schemas.openxmlformats.org/drawingml/2006/picture">
                <pic:pic>
                  <pic:nvPicPr>
                    <pic:cNvPr id="0" name="ds28_regression_coefficients.png"/>
                    <pic:cNvPicPr/>
                  </pic:nvPicPr>
                  <pic:blipFill>
                    <a:blip r:embed="rId19"/>
                    <a:stretch>
                      <a:fillRect/>
                    </a:stretch>
                  </pic:blipFill>
                  <pic:spPr>
                    <a:xfrm>
                      <a:off x="0" y="0"/>
                      <a:ext cx="5486400" cy="3972622"/>
                    </a:xfrm>
                    <a:prstGeom prst="rect"/>
                  </pic:spPr>
                </pic:pic>
              </a:graphicData>
            </a:graphic>
          </wp:inline>
        </w:drawing>
      </w:r>
    </w:p>
    <w:p/>
    <w:p>
      <w:pPr>
        <w:keepNext/>
      </w:pPr>
      <w:r>
        <w:rPr>
          <w:b/>
          <w:sz w:val="24"/>
        </w:rPr>
        <w:t>Figura B2. Regression Pred Vs Real</w:t>
      </w:r>
    </w:p>
    <w:p>
      <w:pPr>
        <w:keepNext/>
      </w:pPr>
      <w:r>
        <w:rPr>
          <w:i/>
        </w:rPr>
        <w:t>Tipo: Modelo predictivo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4039583"/>
            <wp:docPr id="12" name="Picture 12"/>
            <wp:cNvGraphicFramePr>
              <a:graphicFrameLocks noChangeAspect="1"/>
            </wp:cNvGraphicFramePr>
            <a:graphic>
              <a:graphicData uri="http://schemas.openxmlformats.org/drawingml/2006/picture">
                <pic:pic>
                  <pic:nvPicPr>
                    <pic:cNvPr id="0" name="ds28_regression_pred_vs_real.png"/>
                    <pic:cNvPicPr/>
                  </pic:nvPicPr>
                  <pic:blipFill>
                    <a:blip r:embed="rId20"/>
                    <a:stretch>
                      <a:fillRect/>
                    </a:stretch>
                  </pic:blipFill>
                  <pic:spPr>
                    <a:xfrm>
                      <a:off x="0" y="0"/>
                      <a:ext cx="5486400" cy="4039583"/>
                    </a:xfrm>
                    <a:prstGeom prst="rect"/>
                  </pic:spPr>
                </pic:pic>
              </a:graphicData>
            </a:graphic>
          </wp:inline>
        </w:drawing>
      </w:r>
    </w:p>
    <w:p/>
    <w:p>
      <w:pPr>
        <w:keepNext/>
      </w:pPr>
      <w:r>
        <w:rPr>
          <w:b/>
          <w:sz w:val="24"/>
        </w:rPr>
        <w:t>Figura B3. Regression Residuals</w:t>
      </w:r>
    </w:p>
    <w:p>
      <w:pPr>
        <w:keepNext/>
      </w:pPr>
      <w:r>
        <w:rPr>
          <w:i/>
        </w:rPr>
        <w:t>Tipo: Modelo predictivo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4039583"/>
            <wp:docPr id="13" name="Picture 13"/>
            <wp:cNvGraphicFramePr>
              <a:graphicFrameLocks noChangeAspect="1"/>
            </wp:cNvGraphicFramePr>
            <a:graphic>
              <a:graphicData uri="http://schemas.openxmlformats.org/drawingml/2006/picture">
                <pic:pic>
                  <pic:nvPicPr>
                    <pic:cNvPr id="0" name="ds28_regression_residuals.png"/>
                    <pic:cNvPicPr/>
                  </pic:nvPicPr>
                  <pic:blipFill>
                    <a:blip r:embed="rId21"/>
                    <a:stretch>
                      <a:fillRect/>
                    </a:stretch>
                  </pic:blipFill>
                  <pic:spPr>
                    <a:xfrm>
                      <a:off x="0" y="0"/>
                      <a:ext cx="5486400" cy="4039583"/>
                    </a:xfrm>
                    <a:prstGeom prst="rect"/>
                  </pic:spPr>
                </pic:pic>
              </a:graphicData>
            </a:graphic>
          </wp:inline>
        </w:drawing>
      </w:r>
    </w:p>
    <w:p/>
    <w:p>
      <w:pPr>
        <w:keepNext/>
      </w:pPr>
      <w:r>
        <w:rPr>
          <w:b/>
          <w:sz w:val="24"/>
        </w:rPr>
        <w:t>Figura B4. Rf Feature Importance</w:t>
      </w:r>
    </w:p>
    <w:p>
      <w:pPr>
        <w:keepNext/>
      </w:pPr>
      <w:r>
        <w:rPr>
          <w:i/>
        </w:rPr>
        <w:t>Tipo: Modelo predictivo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2965519"/>
            <wp:docPr id="14" name="Picture 14"/>
            <wp:cNvGraphicFramePr>
              <a:graphicFrameLocks noChangeAspect="1"/>
            </wp:cNvGraphicFramePr>
            <a:graphic>
              <a:graphicData uri="http://schemas.openxmlformats.org/drawingml/2006/picture">
                <pic:pic>
                  <pic:nvPicPr>
                    <pic:cNvPr id="0" name="ds28_rf_feature_importance.png"/>
                    <pic:cNvPicPr/>
                  </pic:nvPicPr>
                  <pic:blipFill>
                    <a:blip r:embed="rId22"/>
                    <a:stretch>
                      <a:fillRect/>
                    </a:stretch>
                  </pic:blipFill>
                  <pic:spPr>
                    <a:xfrm>
                      <a:off x="0" y="0"/>
                      <a:ext cx="5486400" cy="2965519"/>
                    </a:xfrm>
                    <a:prstGeom prst="rect"/>
                  </pic:spPr>
                </pic:pic>
              </a:graphicData>
            </a:graphic>
          </wp:inline>
        </w:drawing>
      </w:r>
    </w:p>
    <w:p/>
    <w:p>
      <w:pPr>
        <w:keepNext/>
      </w:pPr>
      <w:r>
        <w:rPr>
          <w:b/>
          <w:sz w:val="24"/>
        </w:rPr>
        <w:t>Figura B5. Rf Pred Vs Real</w:t>
      </w:r>
    </w:p>
    <w:p>
      <w:pPr>
        <w:keepNext/>
      </w:pPr>
      <w:r>
        <w:rPr>
          <w:i/>
        </w:rPr>
        <w:t>Tipo: Modelo predictivo</w:t>
      </w:r>
    </w:p>
    <w:p>
      <w:pPr>
        <w:keepNext/>
      </w:pPr>
      <w:r>
        <w:t>Gráfico generado automáticamente por SADI para apoyar la interpretación del instrumento.</w:t>
      </w:r>
    </w:p>
    <w:p>
      <w:r>
        <w:drawing>
          <wp:inline xmlns:a="http://schemas.openxmlformats.org/drawingml/2006/main" xmlns:pic="http://schemas.openxmlformats.org/drawingml/2006/picture">
            <wp:extent cx="5486400" cy="4080403"/>
            <wp:docPr id="15" name="Picture 15"/>
            <wp:cNvGraphicFramePr>
              <a:graphicFrameLocks noChangeAspect="1"/>
            </wp:cNvGraphicFramePr>
            <a:graphic>
              <a:graphicData uri="http://schemas.openxmlformats.org/drawingml/2006/picture">
                <pic:pic>
                  <pic:nvPicPr>
                    <pic:cNvPr id="0" name="ds28_rf_pred_vs_real.png"/>
                    <pic:cNvPicPr/>
                  </pic:nvPicPr>
                  <pic:blipFill>
                    <a:blip r:embed="rId23"/>
                    <a:stretch>
                      <a:fillRect/>
                    </a:stretch>
                  </pic:blipFill>
                  <pic:spPr>
                    <a:xfrm>
                      <a:off x="0" y="0"/>
                      <a:ext cx="5486400" cy="4080403"/>
                    </a:xfrm>
                    <a:prstGeom prst="rect"/>
                  </pic:spPr>
                </pic:pic>
              </a:graphicData>
            </a:graphic>
          </wp:inline>
        </w:drawing>
      </w:r>
    </w:p>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