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Informe Exploratorio — Dataset (No encuesta)</w:t>
      </w:r>
    </w:p>
    <w:p/>
    <w:p>
      <w:r>
        <w:t>Dataset: Calidad del Aire</w:t>
      </w:r>
    </w:p>
    <w:p>
      <w:r>
        <w:t>Archivo: Calidad del Aire.csv</w:t>
      </w:r>
    </w:p>
    <w:p>
      <w:r>
        <w:t>Fecha: 2026-03-04 16:35</w:t>
      </w:r>
    </w:p>
    <w:p/>
    <w:p>
      <w:pPr>
        <w:pStyle w:val="Heading1"/>
      </w:pPr>
      <w:r>
        <w:t>Resumen general</w:t>
      </w:r>
    </w:p>
    <w:p>
      <w:r>
        <w:t>Filas: 9357 | Columnas: 15</w:t>
      </w:r>
    </w:p>
    <w:p>
      <w:r>
        <w:t>Missing global: 4.7% | Duplicados: 45</w:t>
      </w:r>
    </w:p>
    <w:p>
      <w:r>
        <w:t>Numéricas: 15 | Categóricas: 0 | Fechas: 0</w:t>
      </w:r>
    </w:p>
    <w:p/>
    <w:p>
      <w:pPr>
        <w:pStyle w:val="Heading1"/>
      </w:pPr>
      <w:r>
        <w:t>Insights automáticos</w:t>
      </w:r>
    </w:p>
    <w:p>
      <w:r>
        <w:t>Filas: 9357, Columnas: 15. Missing global: 4.7%.</w:t>
      </w:r>
    </w:p>
    <w:p>
      <w:r>
        <w:t>Columnas con más faltantes:</w:t>
      </w:r>
    </w:p>
    <w:p>
      <w:r>
        <w:t>• AH: 48.7% missing</w:t>
      </w:r>
    </w:p>
    <w:p>
      <w:r>
        <w:t>• RH: 13.1% missing</w:t>
      </w:r>
    </w:p>
    <w:p>
      <w:r>
        <w:t>• T: 4.7% missing</w:t>
      </w:r>
    </w:p>
    <w:p>
      <w:r>
        <w:t>• S5: 3.9% missing</w:t>
      </w:r>
    </w:p>
    <w:p>
      <w:r>
        <w:t>• S4: 0.8% missing</w:t>
      </w:r>
    </w:p>
    <w:p>
      <w:r>
        <w:t>Correlaciones fuertes (|r| ≥ 0.70):</w:t>
      </w:r>
    </w:p>
    <w:p>
      <w:r>
        <w:t>• CO vs S2: r=0.942</w:t>
      </w:r>
    </w:p>
    <w:p>
      <w:r>
        <w:t>• S1 vs S3: r=0.871</w:t>
      </w:r>
    </w:p>
    <w:p>
      <w:r>
        <w:t>• NMHC vs C6H6: r=-0.717</w:t>
      </w:r>
    </w:p>
    <w:p>
      <w:r>
        <w:t>• CO vs C6H6: r=-0.712</w:t>
      </w:r>
    </w:p>
    <w:p/>
    <w:p>
      <w:pPr>
        <w:pStyle w:val="Heading1"/>
      </w:pPr>
      <w:r>
        <w:t>Columnas con más faltantes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Columna</w:t>
            </w:r>
          </w:p>
        </w:tc>
        <w:tc>
          <w:tcPr>
            <w:tcW w:type="dxa" w:w="4320"/>
          </w:tcPr>
          <w:p>
            <w:r>
              <w:t>Missing (%)</w:t>
            </w:r>
          </w:p>
        </w:tc>
      </w:tr>
      <w:tr>
        <w:tc>
          <w:tcPr>
            <w:tcW w:type="dxa" w:w="4320"/>
          </w:tcPr>
          <w:p>
            <w:r>
              <w:t>AH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RH</w:t>
            </w:r>
          </w:p>
        </w:tc>
        <w:tc>
          <w:tcPr>
            <w:tcW w:type="dxa" w:w="4320"/>
          </w:tcPr>
          <w:p>
            <w:r>
              <w:t>13.1%</w:t>
            </w:r>
          </w:p>
        </w:tc>
      </w:tr>
      <w:tr>
        <w:tc>
          <w:tcPr>
            <w:tcW w:type="dxa" w:w="4320"/>
          </w:tcPr>
          <w:p>
            <w:r>
              <w:t>T</w:t>
            </w:r>
          </w:p>
        </w:tc>
        <w:tc>
          <w:tcPr>
            <w:tcW w:type="dxa" w:w="4320"/>
          </w:tcPr>
          <w:p>
            <w:r>
              <w:t>4.7%</w:t>
            </w:r>
          </w:p>
        </w:tc>
      </w:tr>
      <w:tr>
        <w:tc>
          <w:tcPr>
            <w:tcW w:type="dxa" w:w="4320"/>
          </w:tcPr>
          <w:p>
            <w:r>
              <w:t>S5</w:t>
            </w:r>
          </w:p>
        </w:tc>
        <w:tc>
          <w:tcPr>
            <w:tcW w:type="dxa" w:w="4320"/>
          </w:tcPr>
          <w:p>
            <w:r>
              <w:t>3.9%</w:t>
            </w:r>
          </w:p>
        </w:tc>
      </w:tr>
      <w:tr>
        <w:tc>
          <w:tcPr>
            <w:tcW w:type="dxa" w:w="4320"/>
          </w:tcPr>
          <w:p>
            <w:r>
              <w:t>S4</w:t>
            </w:r>
          </w:p>
        </w:tc>
        <w:tc>
          <w:tcPr>
            <w:tcW w:type="dxa" w:w="4320"/>
          </w:tcPr>
          <w:p>
            <w:r>
              <w:t>0.8%</w:t>
            </w:r>
          </w:p>
        </w:tc>
      </w:tr>
    </w:tbl>
    <w:p/>
    <w:p>
      <w:pPr>
        <w:pStyle w:val="Heading1"/>
      </w:pPr>
      <w:r>
        <w:t>Correlaciones fuertes (|r| ≥ 0.70)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 A</w:t>
            </w:r>
          </w:p>
        </w:tc>
        <w:tc>
          <w:tcPr>
            <w:tcW w:type="dxa" w:w="2880"/>
          </w:tcPr>
          <w:p>
            <w:r>
              <w:t>Variable B</w:t>
            </w:r>
          </w:p>
        </w:tc>
        <w:tc>
          <w:tcPr>
            <w:tcW w:type="dxa" w:w="2880"/>
          </w:tcPr>
          <w:p>
            <w:r>
              <w:t>r</w:t>
            </w:r>
          </w:p>
        </w:tc>
      </w:tr>
      <w:tr>
        <w:tc>
          <w:tcPr>
            <w:tcW w:type="dxa" w:w="2880"/>
          </w:tcPr>
          <w:p>
            <w:r>
              <w:t>CO</w:t>
            </w:r>
          </w:p>
        </w:tc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>0.942</w:t>
            </w:r>
          </w:p>
        </w:tc>
      </w:tr>
      <w:tr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0.871</w:t>
            </w:r>
          </w:p>
        </w:tc>
      </w:tr>
      <w:tr>
        <w:tc>
          <w:tcPr>
            <w:tcW w:type="dxa" w:w="2880"/>
          </w:tcPr>
          <w:p>
            <w:r>
              <w:t>NMHC</w:t>
            </w:r>
          </w:p>
        </w:tc>
        <w:tc>
          <w:tcPr>
            <w:tcW w:type="dxa" w:w="2880"/>
          </w:tcPr>
          <w:p>
            <w:r>
              <w:t>C6H6</w:t>
            </w:r>
          </w:p>
        </w:tc>
        <w:tc>
          <w:tcPr>
            <w:tcW w:type="dxa" w:w="2880"/>
          </w:tcPr>
          <w:p>
            <w:r>
              <w:t>-0.717</w:t>
            </w:r>
          </w:p>
        </w:tc>
      </w:tr>
      <w:tr>
        <w:tc>
          <w:tcPr>
            <w:tcW w:type="dxa" w:w="2880"/>
          </w:tcPr>
          <w:p>
            <w:r>
              <w:t>CO</w:t>
            </w:r>
          </w:p>
        </w:tc>
        <w:tc>
          <w:tcPr>
            <w:tcW w:type="dxa" w:w="2880"/>
          </w:tcPr>
          <w:p>
            <w:r>
              <w:t>C6H6</w:t>
            </w:r>
          </w:p>
        </w:tc>
        <w:tc>
          <w:tcPr>
            <w:tcW w:type="dxa" w:w="2880"/>
          </w:tcPr>
          <w:p>
            <w:r>
              <w:t>-0.712</w:t>
            </w:r>
          </w:p>
        </w:tc>
      </w:tr>
    </w:tbl>
    <w:p/>
    <w:p>
      <w:r>
        <w:br w:type="page"/>
      </w:r>
    </w:p>
    <w:p>
      <w:pPr>
        <w:pStyle w:val="Heading1"/>
      </w:pPr>
      <w:r>
        <w:t>Resumen por variable</w:t>
      </w:r>
    </w:p>
    <w:p>
      <w:pPr>
        <w:pStyle w:val="Heading2"/>
      </w:pPr>
      <w:r>
        <w:t>Date (numeric)</w:t>
      </w:r>
    </w:p>
    <w:p>
      <w:r>
        <w:t>N total: 9357 | N válido: 9357 | N faltante: 0 (0.0%)</w:t>
      </w:r>
    </w:p>
    <w:p>
      <w:r>
        <w:t>Media: -110.89024259912365 | Mediana: -200.0 | Min: -200.0 | Max: 1189.0 | Std: 148.4549867789031</w:t>
      </w:r>
    </w:p>
    <w:p>
      <w:pPr>
        <w:pStyle w:val="Heading2"/>
      </w:pPr>
      <w:r>
        <w:t>Time (numeric)</w:t>
      </w:r>
    </w:p>
    <w:p>
      <w:r>
        <w:t>N total: 9357 | N válido: 9357 | N faltante: 0 (0.0%)</w:t>
      </w:r>
    </w:p>
    <w:p>
      <w:r>
        <w:t>Media: 26.54953510740622 | Mediana: 7.0 | Min: -200.0 | Max: 1852.0 | Std: 165.2227486733817</w:t>
      </w:r>
    </w:p>
    <w:p>
      <w:pPr>
        <w:pStyle w:val="Heading2"/>
      </w:pPr>
      <w:r>
        <w:t>CO (numeric)</w:t>
      </w:r>
    </w:p>
    <w:p>
      <w:r>
        <w:t>N total: 9357 | N válido: 9357 | N faltante: 0 (0.0%)</w:t>
      </w:r>
    </w:p>
    <w:p>
      <w:r>
        <w:t>Media: 276.8726087421182 | Mediana: 7.0 | Min: -200.0 | Max: 1889.0 | Std: 457.0069469103602</w:t>
      </w:r>
    </w:p>
    <w:p>
      <w:pPr>
        <w:pStyle w:val="Heading2"/>
      </w:pPr>
      <w:r>
        <w:t>S1 (numeric)</w:t>
      </w:r>
    </w:p>
    <w:p>
      <w:r>
        <w:t>N total: 9357 | N válido: 9357 | N faltante: 0 (0.0%)</w:t>
      </w:r>
    </w:p>
    <w:p>
      <w:r>
        <w:t>Media: 645.02340493748 | Mediana: 744.0 | Min: -200.0 | Max: 2214.0 | Std: 490.92708907162944</w:t>
      </w:r>
    </w:p>
    <w:p>
      <w:pPr>
        <w:pStyle w:val="Heading2"/>
      </w:pPr>
      <w:r>
        <w:t>NMHC (numeric)</w:t>
      </w:r>
    </w:p>
    <w:p>
      <w:r>
        <w:t>N total: 9357 | N válido: 9357 | N faltante: 0 (0.0%)</w:t>
      </w:r>
    </w:p>
    <w:p>
      <w:r>
        <w:t>Media: 389.5367104841295 | Mediana: 273.0 | Min: -200.0 | Max: 2331.0 | Std: 388.8868035630142</w:t>
      </w:r>
    </w:p>
    <w:p>
      <w:pPr>
        <w:pStyle w:val="Heading2"/>
      </w:pPr>
      <w:r>
        <w:t>C6H6 (numeric)</w:t>
      </w:r>
    </w:p>
    <w:p>
      <w:r>
        <w:t>N total: 9357 | N válido: 9357 | N faltante: 0 (0.0%)</w:t>
      </w:r>
    </w:p>
    <w:p>
      <w:r>
        <w:t>Media: 563.5759324569841 | Mediana: 652.0 | Min: -200.0 | Max: 2683.0 | Std: 483.7778777320203</w:t>
      </w:r>
    </w:p>
    <w:p>
      <w:pPr>
        <w:pStyle w:val="Heading2"/>
      </w:pPr>
      <w:r>
        <w:t>S2 (numeric)</w:t>
      </w:r>
    </w:p>
    <w:p>
      <w:r>
        <w:t>N total: 9357 | N válido: 9357 | N faltante: 0 (0.0%)</w:t>
      </w:r>
    </w:p>
    <w:p>
      <w:r>
        <w:t>Media: 527.450999251897 | Mediana: 137.0 | Min: -200.0 | Max: 2684.0 | Std: 679.2695095211537</w:t>
      </w:r>
    </w:p>
    <w:p>
      <w:pPr>
        <w:pStyle w:val="Heading2"/>
      </w:pPr>
      <w:r>
        <w:t>Nox (numeric)</w:t>
      </w:r>
    </w:p>
    <w:p>
      <w:r>
        <w:t>N total: 9357 | N válido: 9357 | N faltante: 0 (0.0%)</w:t>
      </w:r>
    </w:p>
    <w:p>
      <w:r>
        <w:t>Media: 1200.1025969862135 | Mediana: 1268.0 | Min: -200.0 | Max: 2775.0 | Std: 537.3403054283632</w:t>
      </w:r>
    </w:p>
    <w:p>
      <w:pPr>
        <w:pStyle w:val="Heading2"/>
      </w:pPr>
      <w:r>
        <w:t>S3 (numeric)</w:t>
      </w:r>
    </w:p>
    <w:p>
      <w:r>
        <w:t>N total: 9357 | N válido: 9357 | N faltante: 0 (0.0%)</w:t>
      </w:r>
    </w:p>
    <w:p>
      <w:r>
        <w:t>Media: 655.903174094261 | Mediana: 692.0 | Min: -200.0 | Max: 2523.0 | Std: 600.8119180826801</w:t>
      </w:r>
    </w:p>
    <w:p>
      <w:pPr>
        <w:pStyle w:val="Heading2"/>
      </w:pPr>
      <w:r>
        <w:t>NO2 (numeric)</w:t>
      </w:r>
    </w:p>
    <w:p>
      <w:r>
        <w:t>N total: 9357 | N válido: 9357 | N faltante: 0 (0.0%)</w:t>
      </w:r>
    </w:p>
    <w:p>
      <w:r>
        <w:t>Media: 7.136047878593566 | Mediana: 12.0 | Min: -200.0 | Max: 84.0 | Std: 43.655894100115255</w:t>
      </w:r>
    </w:p>
    <w:p>
      <w:pPr>
        <w:pStyle w:val="Heading2"/>
      </w:pPr>
      <w:r>
        <w:t>S4 (numeric)</w:t>
      </w:r>
    </w:p>
    <w:p>
      <w:r>
        <w:t>N total: 9357 | N válido: 9282 | N faltante: 75 (0.8%)</w:t>
      </w:r>
    </w:p>
    <w:p>
      <w:r>
        <w:t>Media: 14.952811893988365 | Mediana: 7.0 | Min: -200.0 | Max: 8288.0 | Std: 115.17929102062558</w:t>
      </w:r>
    </w:p>
    <w:p>
      <w:pPr>
        <w:pStyle w:val="Heading2"/>
      </w:pPr>
      <w:r>
        <w:t>S5 (numeric)</w:t>
      </w:r>
    </w:p>
    <w:p>
      <w:r>
        <w:t>N total: 9357 | N válido: 8989 | N faltante: 368 (3.9%)</w:t>
      </w:r>
    </w:p>
    <w:p>
      <w:r>
        <w:t>Media: 75.95883858048727 | Mediana: 30.0 | Min: 0.0 | Max: 9827.0 | Std: 573.9079282032508</w:t>
      </w:r>
    </w:p>
    <w:p>
      <w:pPr>
        <w:pStyle w:val="Heading2"/>
      </w:pPr>
      <w:r>
        <w:t>T (numeric)</w:t>
      </w:r>
    </w:p>
    <w:p>
      <w:r>
        <w:t>N total: 9357 | N válido: 8913 | N faltante: 444 (4.7%)</w:t>
      </w:r>
    </w:p>
    <w:p>
      <w:r>
        <w:t>Media: 410.67609110288345 | Mediana: 3.0 | Min: 0.0 | Max: 9996.0 | Std: 1593.2763523616836</w:t>
      </w:r>
    </w:p>
    <w:p>
      <w:pPr>
        <w:pStyle w:val="Heading2"/>
      </w:pPr>
      <w:r>
        <w:t>RH (numeric)</w:t>
      </w:r>
    </w:p>
    <w:p>
      <w:r>
        <w:t>N total: 9357 | N válido: 8133 | N faltante: 1224 (13.1%)</w:t>
      </w:r>
    </w:p>
    <w:p>
      <w:r>
        <w:t>Media: 1956.9048321652526 | Mediana: 1.0 | Min: 0.0 | Max: 9989.0 | Std: 3092.6723666960015</w:t>
      </w:r>
    </w:p>
    <w:p>
      <w:pPr>
        <w:pStyle w:val="Heading2"/>
      </w:pPr>
      <w:r>
        <w:t>AH (numeric)</w:t>
      </w:r>
    </w:p>
    <w:p>
      <w:r>
        <w:t>N total: 9357 | N válido: 4802 | N faltante: 4555 (48.7%)</w:t>
      </w:r>
    </w:p>
    <w:p>
      <w:r>
        <w:t>Media: 4805.041232819658 | Mediana: 4857.0 | Min: 1.0 | Max: 9998.0 | Std: 3091.3818667112714</w:t>
      </w:r>
    </w:p>
    <w:p>
      <w:r>
        <w:br w:type="page"/>
      </w:r>
    </w:p>
    <w:p>
      <w:pPr>
        <w:pStyle w:val="Heading1"/>
      </w:pPr>
      <w:r>
        <w:t>Gráficos exploratorios</w:t>
      </w:r>
    </w:p>
    <w:p>
      <w:r>
        <w:t>ds10_corr_heatmap.png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0_corr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ds10_box_outliers.png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0_box_outli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ds10_corr_heatmap.png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0_corr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ds10_hist_C6H6.png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0_hist_C6H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ds10_hist_CO.png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0_hist_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ds10_hist_Date.png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0_hist_D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ds10_hist_NMHC.png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0_hist_NMH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ds10_hist_S1.png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0_hist_S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ds10_hist_Time.png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0_hist_Ti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ds10_missing.png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0_miss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ds10_scatter_CO_vs_C6H6.png</w:t>
      </w:r>
    </w:p>
    <w:p>
      <w:r>
        <w:drawing>
          <wp:inline xmlns:a="http://schemas.openxmlformats.org/drawingml/2006/main" xmlns:pic="http://schemas.openxmlformats.org/drawingml/2006/picture">
            <wp:extent cx="5943600" cy="42454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0_scatter_CO_vs_C6H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ds10_scatter_CO_vs_S2.png</w:t>
      </w:r>
    </w:p>
    <w:p>
      <w:r>
        <w:drawing>
          <wp:inline xmlns:a="http://schemas.openxmlformats.org/drawingml/2006/main" xmlns:pic="http://schemas.openxmlformats.org/drawingml/2006/picture">
            <wp:extent cx="5943600" cy="42454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0_scatter_CO_vs_S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ds10_scatter_NMHC_vs_C6H6.png</w:t>
      </w:r>
    </w:p>
    <w:p>
      <w:r>
        <w:drawing>
          <wp:inline xmlns:a="http://schemas.openxmlformats.org/drawingml/2006/main" xmlns:pic="http://schemas.openxmlformats.org/drawingml/2006/picture">
            <wp:extent cx="5943600" cy="424542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0_scatter_NMHC_vs_C6H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ds10_scatter_S1_vs_S3.png</w:t>
      </w:r>
    </w:p>
    <w:p>
      <w:r>
        <w:drawing>
          <wp:inline xmlns:a="http://schemas.openxmlformats.org/drawingml/2006/main" xmlns:pic="http://schemas.openxmlformats.org/drawingml/2006/picture">
            <wp:extent cx="5943600" cy="42454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0_scatter_S1_vs_S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