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Informe Psicométrico — Encuesta Likert</w:t>
      </w:r>
    </w:p>
    <w:p/>
    <w:p>
      <w:r>
        <w:t>Dataset: Percepcion de alumnos</w:t>
      </w:r>
    </w:p>
    <w:p>
      <w:r>
        <w:t>Archivo: 20260224184629_Percepcion_de_estudiantes_de_la_Carrera_de_Agronomia_con_relacionado_al_cambio_climatico_respuestas_1.xlsx</w:t>
      </w:r>
    </w:p>
    <w:p>
      <w:r>
        <w:t>Fecha: 2026-03-04 16:44</w:t>
      </w:r>
    </w:p>
    <w:p/>
    <w:p>
      <w:pPr>
        <w:pStyle w:val="Heading1"/>
      </w:pPr>
      <w:r>
        <w:t>Interpretación del Alfa de Cronbach</w:t>
      </w:r>
    </w:p>
    <w:p>
      <w:r>
        <w:t>El análisis de consistencia interna mostró un alfa de Cronbach de α = 0.961, lo que indica una fiabilidad excelente para la escala compuesta por 28 ítems (N = 49). Estos resultados sugieren que el instrumento presenta una adecuada homogeneidad interna para su uso en investigación.</w:t>
      </w:r>
    </w:p>
    <w:p/>
    <w:p>
      <w:r>
        <w:br w:type="page"/>
      </w:r>
    </w:p>
    <w:p>
      <w:pPr>
        <w:pStyle w:val="Heading1"/>
      </w:pPr>
      <w:r>
        <w:t>Artículo Científico Automático</w:t>
      </w:r>
    </w:p>
    <w:p>
      <w:r>
        <w:t>Percepcion de alumnos</w:t>
        <w:br/>
        <w:br/>
        <w:t>1. Introducción</w:t>
        <w:br/>
        <w:br/>
        <w:t>El presente estudio tuvo como objetivo evaluar las propiedades psicométricas de un instrumento tipo Likert diseñado para medir constructos relacionados con el objeto de estudio. Se analizó la consistencia interna y la estructura dimensional del instrumento.</w:t>
        <w:br/>
        <w:br/>
        <w:t>2. Método</w:t>
        <w:br/>
        <w:br/>
        <w:t>La muestra estuvo compuesta por 108 participantes. El instrumento estuvo conformado por 28 ítems con escala Likert de 5 puntos. Se calcularon estadísticos descriptivos, alfa de Cronbach global y por dimensiones, y análisis de correlaciones entre ítems.</w:t>
        <w:br/>
        <w:br/>
        <w:t>3. Resultados</w:t>
        <w:br/>
        <w:br/>
        <w:t>El análisis de consistencia interna mostró un alfa de Cronbach de α = 0.961, lo que indica una fiabilidad excelente para la escala compuesta por 28 ítems (N = 49). Estos resultados sugieren que el instrumento presenta una adecuada homogeneidad interna para su uso en investigación.</w:t>
        <w:br/>
        <w:br/>
        <w:t>Consistencia interna por dimensiones:</w:t>
        <w:br/>
        <w:t>- Dimensión Aprende (conocimiento básico): α = 0.9031 (4 ítems)</w:t>
        <w:br/>
        <w:t>- Dimensión Entiende (relaciones y comprensión): α = 0.7914 (4 ítems)</w:t>
        <w:br/>
        <w:t>- Percepción del Cambio Climático: α = 0.906 (10 ítems)</w:t>
        <w:br/>
        <w:t>- Entendimiento del Cambio Climático: α = 0.9352 (9 ítems)</w:t>
        <w:br/>
        <w:br/>
        <w:t>La media general de los ítems fue 2.798 en una escala de 1 a 5. Los resultados indican una tendencia moderada.</w:t>
        <w:br/>
        <w:br/>
        <w:t>4. Conclusión</w:t>
        <w:br/>
        <w:br/>
        <w:t>En conjunto, el instrumento presenta propiedades psicométricas adecuadas para su utilización en investigaciones académicas. Se recomienda su aplicación en estudios futuros y la validación con muestras ampliadas para fortalecer la evidencia empírica.</w:t>
        <w:br/>
      </w:r>
    </w:p>
    <w:p>
      <w:r>
        <w:br w:type="page"/>
      </w:r>
    </w:p>
    <w:p>
      <w:pPr>
        <w:pStyle w:val="Heading1"/>
      </w:pPr>
      <w:r>
        <w:t>Resultados (Texto automático estilo tesis)</w:t>
      </w:r>
    </w:p>
    <w:p>
      <w:r>
        <w:t>Resultados del análisis psicométrico</w:t>
        <w:br/>
        <w:br/>
        <w:t>El análisis de consistencia interna mostró un alfa de Cronbach de α = 0.961, lo que indica una fiabilidad excelente para la escala compuesta por 28 ítems (N = 49). Estos resultados sugieren que el instrumento presenta una adecuada homogeneidad interna para su uso en investigación.</w:t>
        <w:br/>
        <w:br/>
        <w:t>Consistencia interna por dimensiones:</w:t>
        <w:br/>
        <w:t>- Dimensión Aprende (conocimiento básico): α = 0.9031 (4 ítems)</w:t>
        <w:br/>
        <w:t>- Dimensión Entiende (relaciones y comprensión): α = 0.7914 (4 ítems)</w:t>
        <w:br/>
        <w:t>- Percepción del Cambio Climático: α = 0.906 (10 ítems)</w:t>
        <w:br/>
        <w:t>- Entendimiento del Cambio Climático: α = 0.9352 (9 ítems)</w:t>
        <w:br/>
        <w:br/>
        <w:t>La media general de los ítems fue 2.798 en una escala de 1 a 5, lo que indica una tendencia predominante hacia acuerdo moderado.</w:t>
        <w:br/>
        <w:br/>
        <w:t>En conjunto, los resultados evidencian que el instrumento presenta propiedades psicométricas adecuadas para su uso en estudios académicos.</w:t>
      </w:r>
    </w:p>
    <w:p>
      <w:r>
        <w:br w:type="page"/>
      </w:r>
    </w:p>
    <w:p>
      <w:pPr>
        <w:pStyle w:val="Heading1"/>
      </w:pPr>
      <w:r>
        <w:t>Gráficos</w:t>
      </w:r>
    </w:p>
    <w:p>
      <w:r>
        <w:t>ds3_likert_q1.png</w:t>
      </w:r>
    </w:p>
    <w:p>
      <w:r>
        <w:drawing>
          <wp:inline xmlns:a="http://schemas.openxmlformats.org/drawingml/2006/main" xmlns:pic="http://schemas.openxmlformats.org/drawingml/2006/picture">
            <wp:extent cx="5943600" cy="28529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3_likert_q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292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ds3_likert_q2.png</w:t>
      </w:r>
    </w:p>
    <w:p>
      <w:r>
        <w:drawing>
          <wp:inline xmlns:a="http://schemas.openxmlformats.org/drawingml/2006/main" xmlns:pic="http://schemas.openxmlformats.org/drawingml/2006/picture">
            <wp:extent cx="5943600" cy="28529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3_likert_q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292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ds3_likert_q3.png</w:t>
      </w:r>
    </w:p>
    <w:p>
      <w:r>
        <w:drawing>
          <wp:inline xmlns:a="http://schemas.openxmlformats.org/drawingml/2006/main" xmlns:pic="http://schemas.openxmlformats.org/drawingml/2006/picture">
            <wp:extent cx="5943600" cy="28529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3_likert_q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292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ds3_likert_q4.png</w:t>
      </w:r>
    </w:p>
    <w:p>
      <w:r>
        <w:drawing>
          <wp:inline xmlns:a="http://schemas.openxmlformats.org/drawingml/2006/main" xmlns:pic="http://schemas.openxmlformats.org/drawingml/2006/picture">
            <wp:extent cx="5943600" cy="285292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3_likert_q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292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ds3_likert_q5.png</w:t>
      </w:r>
    </w:p>
    <w:p>
      <w:r>
        <w:drawing>
          <wp:inline xmlns:a="http://schemas.openxmlformats.org/drawingml/2006/main" xmlns:pic="http://schemas.openxmlformats.org/drawingml/2006/picture">
            <wp:extent cx="5943600" cy="285292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3_likert_q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292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ds3_likert_q6.png</w:t>
      </w:r>
    </w:p>
    <w:p>
      <w:r>
        <w:drawing>
          <wp:inline xmlns:a="http://schemas.openxmlformats.org/drawingml/2006/main" xmlns:pic="http://schemas.openxmlformats.org/drawingml/2006/picture">
            <wp:extent cx="5943600" cy="285292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3_likert_q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292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ds3_likert_q7.png</w:t>
      </w:r>
    </w:p>
    <w:p>
      <w:r>
        <w:drawing>
          <wp:inline xmlns:a="http://schemas.openxmlformats.org/drawingml/2006/main" xmlns:pic="http://schemas.openxmlformats.org/drawingml/2006/picture">
            <wp:extent cx="5943600" cy="285292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3_likert_q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292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ds3_likert_q8.png</w:t>
      </w:r>
    </w:p>
    <w:p>
      <w:r>
        <w:drawing>
          <wp:inline xmlns:a="http://schemas.openxmlformats.org/drawingml/2006/main" xmlns:pic="http://schemas.openxmlformats.org/drawingml/2006/picture">
            <wp:extent cx="5943600" cy="285292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3_likert_q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292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ds3_likert_q9.png</w:t>
      </w:r>
    </w:p>
    <w:p>
      <w:r>
        <w:drawing>
          <wp:inline xmlns:a="http://schemas.openxmlformats.org/drawingml/2006/main" xmlns:pic="http://schemas.openxmlformats.org/drawingml/2006/picture">
            <wp:extent cx="5943600" cy="285292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3_likert_q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292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ds3_likert_q10.png</w:t>
      </w:r>
    </w:p>
    <w:p>
      <w:r>
        <w:drawing>
          <wp:inline xmlns:a="http://schemas.openxmlformats.org/drawingml/2006/main" xmlns:pic="http://schemas.openxmlformats.org/drawingml/2006/picture">
            <wp:extent cx="5943600" cy="285292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3_likert_q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292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ds3_likert_q11.png</w:t>
      </w:r>
    </w:p>
    <w:p>
      <w:r>
        <w:drawing>
          <wp:inline xmlns:a="http://schemas.openxmlformats.org/drawingml/2006/main" xmlns:pic="http://schemas.openxmlformats.org/drawingml/2006/picture">
            <wp:extent cx="5943600" cy="285292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3_likert_q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292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ds3_likert_q12.png</w:t>
      </w:r>
    </w:p>
    <w:p>
      <w:r>
        <w:drawing>
          <wp:inline xmlns:a="http://schemas.openxmlformats.org/drawingml/2006/main" xmlns:pic="http://schemas.openxmlformats.org/drawingml/2006/picture">
            <wp:extent cx="5943600" cy="285292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3_likert_q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292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ds3_likert_q13.png</w:t>
      </w:r>
    </w:p>
    <w:p>
      <w:r>
        <w:drawing>
          <wp:inline xmlns:a="http://schemas.openxmlformats.org/drawingml/2006/main" xmlns:pic="http://schemas.openxmlformats.org/drawingml/2006/picture">
            <wp:extent cx="5943600" cy="285292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3_likert_q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292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ds3_likert_q14.png</w:t>
      </w:r>
    </w:p>
    <w:p>
      <w:r>
        <w:drawing>
          <wp:inline xmlns:a="http://schemas.openxmlformats.org/drawingml/2006/main" xmlns:pic="http://schemas.openxmlformats.org/drawingml/2006/picture">
            <wp:extent cx="5943600" cy="285292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3_likert_q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292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ds3_likert_q15.png</w:t>
      </w:r>
    </w:p>
    <w:p>
      <w:r>
        <w:drawing>
          <wp:inline xmlns:a="http://schemas.openxmlformats.org/drawingml/2006/main" xmlns:pic="http://schemas.openxmlformats.org/drawingml/2006/picture">
            <wp:extent cx="5943600" cy="285292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3_likert_q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292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ds3_likert_q16.png</w:t>
      </w:r>
    </w:p>
    <w:p>
      <w:r>
        <w:drawing>
          <wp:inline xmlns:a="http://schemas.openxmlformats.org/drawingml/2006/main" xmlns:pic="http://schemas.openxmlformats.org/drawingml/2006/picture">
            <wp:extent cx="5943600" cy="285292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3_likert_q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292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ds3_likert_q17.png</w:t>
      </w:r>
    </w:p>
    <w:p>
      <w:r>
        <w:drawing>
          <wp:inline xmlns:a="http://schemas.openxmlformats.org/drawingml/2006/main" xmlns:pic="http://schemas.openxmlformats.org/drawingml/2006/picture">
            <wp:extent cx="5943600" cy="285292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3_likert_q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292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ds3_likert_q18.png</w:t>
      </w:r>
    </w:p>
    <w:p>
      <w:r>
        <w:drawing>
          <wp:inline xmlns:a="http://schemas.openxmlformats.org/drawingml/2006/main" xmlns:pic="http://schemas.openxmlformats.org/drawingml/2006/picture">
            <wp:extent cx="5943600" cy="285292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3_likert_q1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292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ds3_likert_q19.png</w:t>
      </w:r>
    </w:p>
    <w:p>
      <w:r>
        <w:drawing>
          <wp:inline xmlns:a="http://schemas.openxmlformats.org/drawingml/2006/main" xmlns:pic="http://schemas.openxmlformats.org/drawingml/2006/picture">
            <wp:extent cx="5943600" cy="285292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3_likert_q1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292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ds3_likert_q20.png</w:t>
      </w:r>
    </w:p>
    <w:p>
      <w:r>
        <w:drawing>
          <wp:inline xmlns:a="http://schemas.openxmlformats.org/drawingml/2006/main" xmlns:pic="http://schemas.openxmlformats.org/drawingml/2006/picture">
            <wp:extent cx="5943600" cy="285292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3_likert_q2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292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ds3_likert_q21.png</w:t>
      </w:r>
    </w:p>
    <w:p>
      <w:r>
        <w:drawing>
          <wp:inline xmlns:a="http://schemas.openxmlformats.org/drawingml/2006/main" xmlns:pic="http://schemas.openxmlformats.org/drawingml/2006/picture">
            <wp:extent cx="5943600" cy="285292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3_likert_q2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292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ds3_likert_q22.png</w:t>
      </w:r>
    </w:p>
    <w:p>
      <w:r>
        <w:drawing>
          <wp:inline xmlns:a="http://schemas.openxmlformats.org/drawingml/2006/main" xmlns:pic="http://schemas.openxmlformats.org/drawingml/2006/picture">
            <wp:extent cx="5943600" cy="2852928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3_likert_q2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292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ds3_likert_q23.png</w:t>
      </w:r>
    </w:p>
    <w:p>
      <w:r>
        <w:drawing>
          <wp:inline xmlns:a="http://schemas.openxmlformats.org/drawingml/2006/main" xmlns:pic="http://schemas.openxmlformats.org/drawingml/2006/picture">
            <wp:extent cx="5943600" cy="2852928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3_likert_q2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292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ds3_likert_q24.png</w:t>
      </w:r>
    </w:p>
    <w:p>
      <w:r>
        <w:drawing>
          <wp:inline xmlns:a="http://schemas.openxmlformats.org/drawingml/2006/main" xmlns:pic="http://schemas.openxmlformats.org/drawingml/2006/picture">
            <wp:extent cx="5943600" cy="2852928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3_likert_q2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292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ds3_likert_q25.png</w:t>
      </w:r>
    </w:p>
    <w:p>
      <w:r>
        <w:drawing>
          <wp:inline xmlns:a="http://schemas.openxmlformats.org/drawingml/2006/main" xmlns:pic="http://schemas.openxmlformats.org/drawingml/2006/picture">
            <wp:extent cx="5943600" cy="2852928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3_likert_q2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292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ds3_likert_q26.png</w:t>
      </w:r>
    </w:p>
    <w:p>
      <w:r>
        <w:drawing>
          <wp:inline xmlns:a="http://schemas.openxmlformats.org/drawingml/2006/main" xmlns:pic="http://schemas.openxmlformats.org/drawingml/2006/picture">
            <wp:extent cx="5943600" cy="2852928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3_likert_q26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292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ds3_likert_q27.png</w:t>
      </w:r>
    </w:p>
    <w:p>
      <w:r>
        <w:drawing>
          <wp:inline xmlns:a="http://schemas.openxmlformats.org/drawingml/2006/main" xmlns:pic="http://schemas.openxmlformats.org/drawingml/2006/picture">
            <wp:extent cx="5943600" cy="2852928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3_likert_q27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292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ds3_likert_q28.png</w:t>
      </w:r>
    </w:p>
    <w:p>
      <w:r>
        <w:drawing>
          <wp:inline xmlns:a="http://schemas.openxmlformats.org/drawingml/2006/main" xmlns:pic="http://schemas.openxmlformats.org/drawingml/2006/picture">
            <wp:extent cx="5943600" cy="2852928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3_likert_q28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292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ds3_cronbach.png</w:t>
      </w:r>
    </w:p>
    <w:p>
      <w:r>
        <w:drawing>
          <wp:inline xmlns:a="http://schemas.openxmlformats.org/drawingml/2006/main" xmlns:pic="http://schemas.openxmlformats.org/drawingml/2006/picture">
            <wp:extent cx="5943600" cy="2535936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3_cronbach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593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ds3_dimension_radar.png</w:t>
      </w:r>
    </w:p>
    <w:p>
      <w:r>
        <w:drawing>
          <wp:inline xmlns:a="http://schemas.openxmlformats.org/drawingml/2006/main" xmlns:pic="http://schemas.openxmlformats.org/drawingml/2006/picture">
            <wp:extent cx="5943600" cy="59436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3_dimension_radar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ds3_corr_heatmap.png</w:t>
      </w:r>
    </w:p>
    <w:p>
      <w:r>
        <w:drawing>
          <wp:inline xmlns:a="http://schemas.openxmlformats.org/drawingml/2006/main" xmlns:pic="http://schemas.openxmlformats.org/drawingml/2006/picture">
            <wp:extent cx="5943600" cy="5244353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3_corr_heatmap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435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ds3_efa_scree.png</w:t>
      </w:r>
    </w:p>
    <w:p>
      <w:r>
        <w:drawing>
          <wp:inline xmlns:a="http://schemas.openxmlformats.org/drawingml/2006/main" xmlns:pic="http://schemas.openxmlformats.org/drawingml/2006/picture">
            <wp:extent cx="5943600" cy="2852928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3_efa_scre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292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ds3_efa_loadings.png</w:t>
      </w:r>
    </w:p>
    <w:p>
      <w:r>
        <w:drawing>
          <wp:inline xmlns:a="http://schemas.openxmlformats.org/drawingml/2006/main" xmlns:pic="http://schemas.openxmlformats.org/drawingml/2006/picture">
            <wp:extent cx="5943600" cy="430474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3_efa_loadings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47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ds3_likert_summary_scores.png</w:t>
      </w:r>
    </w:p>
    <w:p>
      <w:r>
        <w:drawing>
          <wp:inline xmlns:a="http://schemas.openxmlformats.org/drawingml/2006/main" xmlns:pic="http://schemas.openxmlformats.org/drawingml/2006/picture">
            <wp:extent cx="5943600" cy="6712553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3_likert_summary_scores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1255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