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p>
    <w:p>
      <w:pPr>
        <w:jc w:val="center"/>
      </w:pPr>
      <w:r>
        <w:rPr>
          <w:rFonts w:ascii="Times New Roman" w:hAnsi="Times New Roman"/>
          <w:b/>
          <w:sz w:val="36"/>
        </w:rPr>
        <w:t>INFORME PSICOMÉTRICO</w:t>
      </w:r>
    </w:p>
    <w:p>
      <w:pPr>
        <w:jc w:val="center"/>
      </w:pPr>
      <w:r>
        <w:rPr>
          <w:rFonts w:ascii="Times New Roman" w:hAnsi="Times New Roman"/>
          <w:sz w:val="26"/>
        </w:rPr>
        <w:t>Likert 5</w:t>
      </w:r>
    </w:p>
    <w:p/>
    <w:p>
      <w:pPr>
        <w:jc w:val="center"/>
      </w:pPr>
      <w:r>
        <w:rPr>
          <w:rFonts w:ascii="Times New Roman" w:hAnsi="Times New Roman"/>
          <w:sz w:val="22"/>
        </w:rPr>
        <w:t>Fecha: 2026-03-11</w:t>
      </w:r>
    </w:p>
    <w:p>
      <w:pPr>
        <w:jc w:val="center"/>
      </w:pPr>
      <w:r>
        <w:rPr>
          <w:rFonts w:ascii="Times New Roman" w:hAnsi="Times New Roman"/>
          <w:sz w:val="22"/>
        </w:rPr>
        <w:t>Participantes: 200</w:t>
      </w:r>
    </w:p>
    <w:p>
      <w:pPr>
        <w:jc w:val="center"/>
      </w:pPr>
      <w:r>
        <w:rPr>
          <w:rFonts w:ascii="Times New Roman" w:hAnsi="Times New Roman"/>
          <w:sz w:val="22"/>
        </w:rPr>
        <w:t>Escala Likert: 5 puntos</w:t>
      </w:r>
    </w:p>
    <w:p>
      <w:pPr>
        <w:jc w:val="center"/>
      </w:pPr>
      <w:r>
        <w:rPr>
          <w:rFonts w:ascii="Times New Roman" w:hAnsi="Times New Roman"/>
          <w:sz w:val="22"/>
        </w:rPr>
        <w:t>Número de ítems: 6</w:t>
      </w:r>
    </w:p>
    <w:p/>
    <w:p>
      <w:pPr>
        <w:jc w:val="center"/>
      </w:pPr>
      <w:r>
        <w:rPr>
          <w:rFonts w:ascii="Times New Roman" w:hAnsi="Times New Roman"/>
          <w:i/>
          <w:sz w:val="20"/>
        </w:rPr>
        <w:t>Generado automáticamente por SADI</w:t>
      </w:r>
    </w:p>
    <w:p>
      <w:r>
        <w:br w:type="page"/>
      </w:r>
    </w:p>
    <w:p>
      <w:pPr>
        <w:pStyle w:val="Heading1"/>
        <w:keepNext/>
      </w:pPr>
      <w:r>
        <w:t>1. Descripción del instrumento</w:t>
      </w:r>
    </w:p>
    <w:p>
      <w:r>
        <w:t>Se analizó un instrumento tipo Likert de 5 puntos, compuesto por 6 ítems y aplicado a 200 participantes. El presente informe tiene por finalidad describir el comportamiento psicométrico del instrumento, incluyendo consistencia interna, análisis por ítem, análisis por dimensión y representación gráfica de resultados.</w:t>
      </w:r>
    </w:p>
    <w:p>
      <w:pPr>
        <w:pStyle w:val="Heading1"/>
        <w:keepNext/>
      </w:pPr>
      <w:r>
        <w:t>2. Hallazgos clave</w:t>
      </w:r>
    </w:p>
    <w:p>
      <w:pPr>
        <w:pStyle w:val="ListBullet"/>
      </w:pPr>
      <w:r>
        <w:t>La muestra analizada estuvo conformada por 200 participantes.</w:t>
      </w:r>
    </w:p>
    <w:p>
      <w:pPr>
        <w:pStyle w:val="ListBullet"/>
      </w:pPr>
      <w:r>
        <w:t>El instrumento fue procesado como una escala Likert de 5 puntos.</w:t>
      </w:r>
    </w:p>
    <w:p>
      <w:pPr>
        <w:pStyle w:val="ListBullet"/>
      </w:pPr>
      <w:r>
        <w:t>El alfa de Cronbach global alcanzó un valor de 0.0358.</w:t>
      </w:r>
    </w:p>
    <w:p>
      <w:pPr>
        <w:pStyle w:val="ListBullet"/>
      </w:pPr>
      <w:r>
        <w:t>Se evaluó la consistencia interna en 1 dimensiones del instrumento.</w:t>
      </w:r>
    </w:p>
    <w:p>
      <w:pPr>
        <w:pStyle w:val="ListBullet"/>
      </w:pPr>
      <w:r>
        <w:t>El ítem 'organizacion_programa' aparece como candidato a revisión, pues su eliminación elevaría el alfa a 0.1444.</w:t>
      </w:r>
    </w:p>
    <w:p>
      <w:pPr>
        <w:pStyle w:val="Heading1"/>
        <w:keepNext/>
      </w:pPr>
      <w:r>
        <w:t>3. Consistencia interna</w:t>
      </w:r>
    </w:p>
    <w:p>
      <w:r>
        <w:t>Alfa de Cronbach global: 0.0358</w:t>
      </w:r>
    </w:p>
    <w:p>
      <w:r>
        <w:t>El instrumento presenta una consistencia interna inaceptable (α = 0.036), calculada sobre 6 ítems y 184 casos completos. Esto sugiere que los ítems podrían no estar midiendo el mismo constructo de forma homogénea, por lo que se recomienda revisar la estructura del instrumento.</w:t>
      </w:r>
    </w:p>
    <w:p>
      <w:pPr>
        <w:pStyle w:val="Heading2"/>
        <w:keepNext/>
      </w:pPr>
      <w:r>
        <w:t>3.1 Alfa si se elimina el ítem</w:t>
      </w:r>
    </w:p>
    <w:tbl>
      <w:tblPr>
        <w:tblStyle w:val="TableGrid"/>
        <w:tblW w:type="auto" w:w="0"/>
        <w:jc w:val="center"/>
        <w:tblLook w:firstColumn="1" w:firstRow="1" w:lastColumn="0" w:lastRow="0" w:noHBand="0" w:noVBand="1" w:val="04A0"/>
      </w:tblPr>
      <w:tblGrid>
        <w:gridCol w:w="4320"/>
        <w:gridCol w:w="4320"/>
      </w:tblGrid>
      <w:tr>
        <w:tc>
          <w:tcPr>
            <w:tcW w:type="dxa" w:w="4320"/>
          </w:tcPr>
          <w:p>
            <w:r>
              <w:rPr>
                <w:rFonts w:ascii="Times New Roman" w:hAnsi="Times New Roman"/>
                <w:b/>
                <w:sz w:val="20"/>
              </w:rPr>
              <w:t>Ítem</w:t>
            </w:r>
          </w:p>
        </w:tc>
        <w:tc>
          <w:tcPr>
            <w:tcW w:type="dxa" w:w="4320"/>
          </w:tcPr>
          <w:p>
            <w:r>
              <w:rPr>
                <w:rFonts w:ascii="Times New Roman" w:hAnsi="Times New Roman"/>
                <w:b/>
                <w:sz w:val="20"/>
              </w:rPr>
              <w:t>Alfa si se elimina</w:t>
            </w:r>
          </w:p>
        </w:tc>
      </w:tr>
      <w:tr>
        <w:tc>
          <w:tcPr>
            <w:tcW w:type="dxa" w:w="4320"/>
          </w:tcPr>
          <w:p>
            <w:r>
              <w:rPr>
                <w:rFonts w:ascii="Times New Roman" w:hAnsi="Times New Roman"/>
                <w:sz w:val="20"/>
              </w:rPr>
              <w:t>claridad_clases</w:t>
            </w:r>
          </w:p>
        </w:tc>
        <w:tc>
          <w:tcPr>
            <w:tcW w:type="dxa" w:w="4320"/>
          </w:tcPr>
          <w:p>
            <w:r>
              <w:rPr>
                <w:rFonts w:ascii="Times New Roman" w:hAnsi="Times New Roman"/>
                <w:sz w:val="20"/>
              </w:rPr>
              <w:t>0.1369</w:t>
            </w:r>
          </w:p>
        </w:tc>
      </w:tr>
      <w:tr>
        <w:tc>
          <w:tcPr>
            <w:tcW w:type="dxa" w:w="4320"/>
          </w:tcPr>
          <w:p>
            <w:r>
              <w:rPr>
                <w:rFonts w:ascii="Times New Roman" w:hAnsi="Times New Roman"/>
                <w:sz w:val="20"/>
              </w:rPr>
              <w:t>organizacion_programa</w:t>
            </w:r>
          </w:p>
        </w:tc>
        <w:tc>
          <w:tcPr>
            <w:tcW w:type="dxa" w:w="4320"/>
          </w:tcPr>
          <w:p>
            <w:r>
              <w:rPr>
                <w:rFonts w:ascii="Times New Roman" w:hAnsi="Times New Roman"/>
                <w:sz w:val="20"/>
              </w:rPr>
              <w:t>0.1444</w:t>
            </w:r>
          </w:p>
        </w:tc>
      </w:tr>
      <w:tr>
        <w:tc>
          <w:tcPr>
            <w:tcW w:type="dxa" w:w="4320"/>
          </w:tcPr>
          <w:p>
            <w:r>
              <w:rPr>
                <w:rFonts w:ascii="Times New Roman" w:hAnsi="Times New Roman"/>
                <w:sz w:val="20"/>
              </w:rPr>
              <w:t>disponibilidad_docentes</w:t>
            </w:r>
          </w:p>
        </w:tc>
        <w:tc>
          <w:tcPr>
            <w:tcW w:type="dxa" w:w="4320"/>
          </w:tcPr>
          <w:p>
            <w:r>
              <w:rPr>
                <w:rFonts w:ascii="Times New Roman" w:hAnsi="Times New Roman"/>
                <w:sz w:val="20"/>
              </w:rPr>
              <w:t>-0.0688</w:t>
            </w:r>
          </w:p>
        </w:tc>
      </w:tr>
      <w:tr>
        <w:tc>
          <w:tcPr>
            <w:tcW w:type="dxa" w:w="4320"/>
          </w:tcPr>
          <w:p>
            <w:r>
              <w:rPr>
                <w:rFonts w:ascii="Times New Roman" w:hAnsi="Times New Roman"/>
                <w:sz w:val="20"/>
              </w:rPr>
              <w:t>uso_tecnologia</w:t>
            </w:r>
          </w:p>
        </w:tc>
        <w:tc>
          <w:tcPr>
            <w:tcW w:type="dxa" w:w="4320"/>
          </w:tcPr>
          <w:p>
            <w:r>
              <w:rPr>
                <w:rFonts w:ascii="Times New Roman" w:hAnsi="Times New Roman"/>
                <w:sz w:val="20"/>
              </w:rPr>
              <w:t>-0.0479</w:t>
            </w:r>
          </w:p>
        </w:tc>
      </w:tr>
      <w:tr>
        <w:tc>
          <w:tcPr>
            <w:tcW w:type="dxa" w:w="4320"/>
          </w:tcPr>
          <w:p>
            <w:r>
              <w:rPr>
                <w:rFonts w:ascii="Times New Roman" w:hAnsi="Times New Roman"/>
                <w:sz w:val="20"/>
              </w:rPr>
              <w:t>relevancia_contenidos</w:t>
            </w:r>
          </w:p>
        </w:tc>
        <w:tc>
          <w:tcPr>
            <w:tcW w:type="dxa" w:w="4320"/>
          </w:tcPr>
          <w:p>
            <w:r>
              <w:rPr>
                <w:rFonts w:ascii="Times New Roman" w:hAnsi="Times New Roman"/>
                <w:sz w:val="20"/>
              </w:rPr>
              <w:t>-0.0186</w:t>
            </w:r>
          </w:p>
        </w:tc>
      </w:tr>
      <w:tr>
        <w:tc>
          <w:tcPr>
            <w:tcW w:type="dxa" w:w="4320"/>
          </w:tcPr>
          <w:p>
            <w:r>
              <w:rPr>
                <w:rFonts w:ascii="Times New Roman" w:hAnsi="Times New Roman"/>
                <w:sz w:val="20"/>
              </w:rPr>
              <w:t>satisfaccion_general</w:t>
            </w:r>
          </w:p>
        </w:tc>
        <w:tc>
          <w:tcPr>
            <w:tcW w:type="dxa" w:w="4320"/>
          </w:tcPr>
          <w:p>
            <w:r>
              <w:rPr>
                <w:rFonts w:ascii="Times New Roman" w:hAnsi="Times New Roman"/>
                <w:sz w:val="20"/>
              </w:rPr>
              <w:t>-0.0017</w:t>
            </w:r>
          </w:p>
        </w:tc>
      </w:tr>
    </w:tbl>
    <w:p/>
    <w:p>
      <w:pPr>
        <w:pStyle w:val="Heading1"/>
        <w:keepNext/>
      </w:pPr>
      <w:r>
        <w:t>4. Estadísticos por ítem</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b/>
                <w:sz w:val="20"/>
              </w:rPr>
              <w:t>Ítem</w:t>
            </w:r>
          </w:p>
        </w:tc>
        <w:tc>
          <w:tcPr>
            <w:tcW w:type="dxa" w:w="1728"/>
          </w:tcPr>
          <w:p>
            <w:r>
              <w:rPr>
                <w:rFonts w:ascii="Times New Roman" w:hAnsi="Times New Roman"/>
                <w:b/>
                <w:sz w:val="20"/>
              </w:rPr>
              <w:t>Media</w:t>
            </w:r>
          </w:p>
        </w:tc>
        <w:tc>
          <w:tcPr>
            <w:tcW w:type="dxa" w:w="1728"/>
          </w:tcPr>
          <w:p>
            <w:r>
              <w:rPr>
                <w:rFonts w:ascii="Times New Roman" w:hAnsi="Times New Roman"/>
                <w:b/>
                <w:sz w:val="20"/>
              </w:rPr>
              <w:t>Mediana</w:t>
            </w:r>
          </w:p>
        </w:tc>
        <w:tc>
          <w:tcPr>
            <w:tcW w:type="dxa" w:w="1728"/>
          </w:tcPr>
          <w:p>
            <w:r>
              <w:rPr>
                <w:rFonts w:ascii="Times New Roman" w:hAnsi="Times New Roman"/>
                <w:b/>
                <w:sz w:val="20"/>
              </w:rPr>
              <w:t>Desv. estándar</w:t>
            </w:r>
          </w:p>
        </w:tc>
        <w:tc>
          <w:tcPr>
            <w:tcW w:type="dxa" w:w="1728"/>
          </w:tcPr>
          <w:p>
            <w:r>
              <w:rPr>
                <w:rFonts w:ascii="Times New Roman" w:hAnsi="Times New Roman"/>
                <w:b/>
                <w:sz w:val="20"/>
              </w:rPr>
              <w:t>N válido</w:t>
            </w:r>
          </w:p>
        </w:tc>
      </w:tr>
      <w:tr>
        <w:tc>
          <w:tcPr>
            <w:tcW w:type="dxa" w:w="1728"/>
          </w:tcPr>
          <w:p>
            <w:r>
              <w:rPr>
                <w:rFonts w:ascii="Times New Roman" w:hAnsi="Times New Roman"/>
                <w:sz w:val="20"/>
              </w:rPr>
              <w:t>claridad_clases</w:t>
            </w:r>
          </w:p>
        </w:tc>
        <w:tc>
          <w:tcPr>
            <w:tcW w:type="dxa" w:w="1728"/>
          </w:tcPr>
          <w:p>
            <w:r>
              <w:rPr>
                <w:rFonts w:ascii="Times New Roman" w:hAnsi="Times New Roman"/>
                <w:sz w:val="20"/>
              </w:rPr>
              <w:t>3.026</w:t>
            </w:r>
          </w:p>
        </w:tc>
        <w:tc>
          <w:tcPr>
            <w:tcW w:type="dxa" w:w="1728"/>
          </w:tcPr>
          <w:p>
            <w:r>
              <w:rPr>
                <w:rFonts w:ascii="Times New Roman" w:hAnsi="Times New Roman"/>
                <w:sz w:val="20"/>
              </w:rPr>
              <w:t>3.000</w:t>
            </w:r>
          </w:p>
        </w:tc>
        <w:tc>
          <w:tcPr>
            <w:tcW w:type="dxa" w:w="1728"/>
          </w:tcPr>
          <w:p>
            <w:r>
              <w:rPr>
                <w:rFonts w:ascii="Times New Roman" w:hAnsi="Times New Roman"/>
                <w:sz w:val="20"/>
              </w:rPr>
              <w:t>1.367</w:t>
            </w:r>
          </w:p>
        </w:tc>
        <w:tc>
          <w:tcPr>
            <w:tcW w:type="dxa" w:w="1728"/>
          </w:tcPr>
          <w:p>
            <w:r>
              <w:rPr>
                <w:rFonts w:ascii="Times New Roman" w:hAnsi="Times New Roman"/>
                <w:sz w:val="20"/>
              </w:rPr>
              <w:t>192</w:t>
            </w:r>
          </w:p>
        </w:tc>
      </w:tr>
      <w:tr>
        <w:tc>
          <w:tcPr>
            <w:tcW w:type="dxa" w:w="1728"/>
          </w:tcPr>
          <w:p>
            <w:r>
              <w:rPr>
                <w:rFonts w:ascii="Times New Roman" w:hAnsi="Times New Roman"/>
                <w:sz w:val="20"/>
              </w:rPr>
              <w:t>organizacion_programa</w:t>
            </w:r>
          </w:p>
        </w:tc>
        <w:tc>
          <w:tcPr>
            <w:tcW w:type="dxa" w:w="1728"/>
          </w:tcPr>
          <w:p>
            <w:r>
              <w:rPr>
                <w:rFonts w:ascii="Times New Roman" w:hAnsi="Times New Roman"/>
                <w:sz w:val="20"/>
              </w:rPr>
              <w:t>2.940</w:t>
            </w:r>
          </w:p>
        </w:tc>
        <w:tc>
          <w:tcPr>
            <w:tcW w:type="dxa" w:w="1728"/>
          </w:tcPr>
          <w:p>
            <w:r>
              <w:rPr>
                <w:rFonts w:ascii="Times New Roman" w:hAnsi="Times New Roman"/>
                <w:sz w:val="20"/>
              </w:rPr>
              <w:t>3.000</w:t>
            </w:r>
          </w:p>
        </w:tc>
        <w:tc>
          <w:tcPr>
            <w:tcW w:type="dxa" w:w="1728"/>
          </w:tcPr>
          <w:p>
            <w:r>
              <w:rPr>
                <w:rFonts w:ascii="Times New Roman" w:hAnsi="Times New Roman"/>
                <w:sz w:val="20"/>
              </w:rPr>
              <w:t>1.445</w:t>
            </w:r>
          </w:p>
        </w:tc>
        <w:tc>
          <w:tcPr>
            <w:tcW w:type="dxa" w:w="1728"/>
          </w:tcPr>
          <w:p>
            <w:r>
              <w:rPr>
                <w:rFonts w:ascii="Times New Roman" w:hAnsi="Times New Roman"/>
                <w:sz w:val="20"/>
              </w:rPr>
              <w:t>200</w:t>
            </w:r>
          </w:p>
        </w:tc>
      </w:tr>
      <w:tr>
        <w:tc>
          <w:tcPr>
            <w:tcW w:type="dxa" w:w="1728"/>
          </w:tcPr>
          <w:p>
            <w:r>
              <w:rPr>
                <w:rFonts w:ascii="Times New Roman" w:hAnsi="Times New Roman"/>
                <w:sz w:val="20"/>
              </w:rPr>
              <w:t>disponibilidad_docentes</w:t>
            </w:r>
          </w:p>
        </w:tc>
        <w:tc>
          <w:tcPr>
            <w:tcW w:type="dxa" w:w="1728"/>
          </w:tcPr>
          <w:p>
            <w:r>
              <w:rPr>
                <w:rFonts w:ascii="Times New Roman" w:hAnsi="Times New Roman"/>
                <w:sz w:val="20"/>
              </w:rPr>
              <w:t>3.035</w:t>
            </w:r>
          </w:p>
        </w:tc>
        <w:tc>
          <w:tcPr>
            <w:tcW w:type="dxa" w:w="1728"/>
          </w:tcPr>
          <w:p>
            <w:r>
              <w:rPr>
                <w:rFonts w:ascii="Times New Roman" w:hAnsi="Times New Roman"/>
                <w:sz w:val="20"/>
              </w:rPr>
              <w:t>3.000</w:t>
            </w:r>
          </w:p>
        </w:tc>
        <w:tc>
          <w:tcPr>
            <w:tcW w:type="dxa" w:w="1728"/>
          </w:tcPr>
          <w:p>
            <w:r>
              <w:rPr>
                <w:rFonts w:ascii="Times New Roman" w:hAnsi="Times New Roman"/>
                <w:sz w:val="20"/>
              </w:rPr>
              <w:t>1.408</w:t>
            </w:r>
          </w:p>
        </w:tc>
        <w:tc>
          <w:tcPr>
            <w:tcW w:type="dxa" w:w="1728"/>
          </w:tcPr>
          <w:p>
            <w:r>
              <w:rPr>
                <w:rFonts w:ascii="Times New Roman" w:hAnsi="Times New Roman"/>
                <w:sz w:val="20"/>
              </w:rPr>
              <w:t>200</w:t>
            </w:r>
          </w:p>
        </w:tc>
      </w:tr>
      <w:tr>
        <w:tc>
          <w:tcPr>
            <w:tcW w:type="dxa" w:w="1728"/>
          </w:tcPr>
          <w:p>
            <w:r>
              <w:rPr>
                <w:rFonts w:ascii="Times New Roman" w:hAnsi="Times New Roman"/>
                <w:sz w:val="20"/>
              </w:rPr>
              <w:t>uso_tecnologia</w:t>
            </w:r>
          </w:p>
        </w:tc>
        <w:tc>
          <w:tcPr>
            <w:tcW w:type="dxa" w:w="1728"/>
          </w:tcPr>
          <w:p>
            <w:r>
              <w:rPr>
                <w:rFonts w:ascii="Times New Roman" w:hAnsi="Times New Roman"/>
                <w:sz w:val="20"/>
              </w:rPr>
              <w:t>3.110</w:t>
            </w:r>
          </w:p>
        </w:tc>
        <w:tc>
          <w:tcPr>
            <w:tcW w:type="dxa" w:w="1728"/>
          </w:tcPr>
          <w:p>
            <w:r>
              <w:rPr>
                <w:rFonts w:ascii="Times New Roman" w:hAnsi="Times New Roman"/>
                <w:sz w:val="20"/>
              </w:rPr>
              <w:t>3.000</w:t>
            </w:r>
          </w:p>
        </w:tc>
        <w:tc>
          <w:tcPr>
            <w:tcW w:type="dxa" w:w="1728"/>
          </w:tcPr>
          <w:p>
            <w:r>
              <w:rPr>
                <w:rFonts w:ascii="Times New Roman" w:hAnsi="Times New Roman"/>
                <w:sz w:val="20"/>
              </w:rPr>
              <w:t>1.322</w:t>
            </w:r>
          </w:p>
        </w:tc>
        <w:tc>
          <w:tcPr>
            <w:tcW w:type="dxa" w:w="1728"/>
          </w:tcPr>
          <w:p>
            <w:r>
              <w:rPr>
                <w:rFonts w:ascii="Times New Roman" w:hAnsi="Times New Roman"/>
                <w:sz w:val="20"/>
              </w:rPr>
              <w:t>200</w:t>
            </w:r>
          </w:p>
        </w:tc>
      </w:tr>
      <w:tr>
        <w:tc>
          <w:tcPr>
            <w:tcW w:type="dxa" w:w="1728"/>
          </w:tcPr>
          <w:p>
            <w:r>
              <w:rPr>
                <w:rFonts w:ascii="Times New Roman" w:hAnsi="Times New Roman"/>
                <w:sz w:val="20"/>
              </w:rPr>
              <w:t>relevancia_contenidos</w:t>
            </w:r>
          </w:p>
        </w:tc>
        <w:tc>
          <w:tcPr>
            <w:tcW w:type="dxa" w:w="1728"/>
          </w:tcPr>
          <w:p>
            <w:r>
              <w:rPr>
                <w:rFonts w:ascii="Times New Roman" w:hAnsi="Times New Roman"/>
                <w:sz w:val="20"/>
              </w:rPr>
              <w:t>2.980</w:t>
            </w:r>
          </w:p>
        </w:tc>
        <w:tc>
          <w:tcPr>
            <w:tcW w:type="dxa" w:w="1728"/>
          </w:tcPr>
          <w:p>
            <w:r>
              <w:rPr>
                <w:rFonts w:ascii="Times New Roman" w:hAnsi="Times New Roman"/>
                <w:sz w:val="20"/>
              </w:rPr>
              <w:t>3.000</w:t>
            </w:r>
          </w:p>
        </w:tc>
        <w:tc>
          <w:tcPr>
            <w:tcW w:type="dxa" w:w="1728"/>
          </w:tcPr>
          <w:p>
            <w:r>
              <w:rPr>
                <w:rFonts w:ascii="Times New Roman" w:hAnsi="Times New Roman"/>
                <w:sz w:val="20"/>
              </w:rPr>
              <w:t>1.456</w:t>
            </w:r>
          </w:p>
        </w:tc>
        <w:tc>
          <w:tcPr>
            <w:tcW w:type="dxa" w:w="1728"/>
          </w:tcPr>
          <w:p>
            <w:r>
              <w:rPr>
                <w:rFonts w:ascii="Times New Roman" w:hAnsi="Times New Roman"/>
                <w:sz w:val="20"/>
              </w:rPr>
              <w:t>200</w:t>
            </w:r>
          </w:p>
        </w:tc>
      </w:tr>
      <w:tr>
        <w:tc>
          <w:tcPr>
            <w:tcW w:type="dxa" w:w="1728"/>
          </w:tcPr>
          <w:p>
            <w:r>
              <w:rPr>
                <w:rFonts w:ascii="Times New Roman" w:hAnsi="Times New Roman"/>
                <w:sz w:val="20"/>
              </w:rPr>
              <w:t>satisfaccion_general</w:t>
            </w:r>
          </w:p>
        </w:tc>
        <w:tc>
          <w:tcPr>
            <w:tcW w:type="dxa" w:w="1728"/>
          </w:tcPr>
          <w:p>
            <w:r>
              <w:rPr>
                <w:rFonts w:ascii="Times New Roman" w:hAnsi="Times New Roman"/>
                <w:sz w:val="20"/>
              </w:rPr>
              <w:t>2.823</w:t>
            </w:r>
          </w:p>
        </w:tc>
        <w:tc>
          <w:tcPr>
            <w:tcW w:type="dxa" w:w="1728"/>
          </w:tcPr>
          <w:p>
            <w:r>
              <w:rPr>
                <w:rFonts w:ascii="Times New Roman" w:hAnsi="Times New Roman"/>
                <w:sz w:val="20"/>
              </w:rPr>
              <w:t>3.000</w:t>
            </w:r>
          </w:p>
        </w:tc>
        <w:tc>
          <w:tcPr>
            <w:tcW w:type="dxa" w:w="1728"/>
          </w:tcPr>
          <w:p>
            <w:r>
              <w:rPr>
                <w:rFonts w:ascii="Times New Roman" w:hAnsi="Times New Roman"/>
                <w:sz w:val="20"/>
              </w:rPr>
              <w:t>1.388</w:t>
            </w:r>
          </w:p>
        </w:tc>
        <w:tc>
          <w:tcPr>
            <w:tcW w:type="dxa" w:w="1728"/>
          </w:tcPr>
          <w:p>
            <w:r>
              <w:rPr>
                <w:rFonts w:ascii="Times New Roman" w:hAnsi="Times New Roman"/>
                <w:sz w:val="20"/>
              </w:rPr>
              <w:t>192</w:t>
            </w:r>
          </w:p>
        </w:tc>
      </w:tr>
    </w:tbl>
    <w:p/>
    <w:p>
      <w:pPr>
        <w:pStyle w:val="Heading1"/>
        <w:keepNext/>
      </w:pPr>
      <w:r>
        <w:t>5. Consistencia por dimensión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0"/>
              </w:rPr>
              <w:t>Dimensión</w:t>
            </w:r>
          </w:p>
        </w:tc>
        <w:tc>
          <w:tcPr>
            <w:tcW w:type="dxa" w:w="2160"/>
          </w:tcPr>
          <w:p>
            <w:r>
              <w:rPr>
                <w:rFonts w:ascii="Times New Roman" w:hAnsi="Times New Roman"/>
                <w:b/>
                <w:sz w:val="20"/>
              </w:rPr>
              <w:t>Ítems</w:t>
            </w:r>
          </w:p>
        </w:tc>
        <w:tc>
          <w:tcPr>
            <w:tcW w:type="dxa" w:w="2160"/>
          </w:tcPr>
          <w:p>
            <w:r>
              <w:rPr>
                <w:rFonts w:ascii="Times New Roman" w:hAnsi="Times New Roman"/>
                <w:b/>
                <w:sz w:val="20"/>
              </w:rPr>
              <w:t>Alfa</w:t>
            </w:r>
          </w:p>
        </w:tc>
        <w:tc>
          <w:tcPr>
            <w:tcW w:type="dxa" w:w="2160"/>
          </w:tcPr>
          <w:p>
            <w:r>
              <w:rPr>
                <w:rFonts w:ascii="Times New Roman" w:hAnsi="Times New Roman"/>
                <w:b/>
                <w:sz w:val="20"/>
              </w:rPr>
              <w:t>Interpretación</w:t>
            </w:r>
          </w:p>
        </w:tc>
      </w:tr>
      <w:tr>
        <w:tc>
          <w:tcPr>
            <w:tcW w:type="dxa" w:w="2160"/>
          </w:tcPr>
          <w:p>
            <w:r>
              <w:rPr>
                <w:rFonts w:ascii="Times New Roman" w:hAnsi="Times New Roman"/>
                <w:sz w:val="20"/>
              </w:rPr>
              <w:t>General</w:t>
            </w:r>
          </w:p>
        </w:tc>
        <w:tc>
          <w:tcPr>
            <w:tcW w:type="dxa" w:w="2160"/>
          </w:tcPr>
          <w:p>
            <w:r>
              <w:rPr>
                <w:rFonts w:ascii="Times New Roman" w:hAnsi="Times New Roman"/>
                <w:sz w:val="20"/>
              </w:rPr>
            </w:r>
          </w:p>
        </w:tc>
        <w:tc>
          <w:tcPr>
            <w:tcW w:type="dxa" w:w="2160"/>
          </w:tcPr>
          <w:p>
            <w:r>
              <w:rPr>
                <w:rFonts w:ascii="Times New Roman" w:hAnsi="Times New Roman"/>
                <w:sz w:val="20"/>
              </w:rPr>
              <w:t>0.0358</w:t>
            </w:r>
          </w:p>
        </w:tc>
        <w:tc>
          <w:tcPr>
            <w:tcW w:type="dxa" w:w="2160"/>
          </w:tcPr>
          <w:p>
            <w:r>
              <w:rPr>
                <w:rFonts w:ascii="Times New Roman" w:hAnsi="Times New Roman"/>
                <w:sz w:val="20"/>
              </w:rPr>
            </w:r>
          </w:p>
        </w:tc>
      </w:tr>
    </w:tbl>
    <w:p/>
    <w:p>
      <w:pPr>
        <w:pStyle w:val="Heading1"/>
        <w:keepNext/>
      </w:pPr>
      <w:r>
        <w:t>6. Resultados automáticos</w:t>
      </w:r>
    </w:p>
    <w:p>
      <w:r>
        <w:t>Resultados del análisis psicométrico</w:t>
        <w:br/>
        <w:br/>
        <w:t>El instrumento presenta una consistencia interna inaceptable (α = 0.036), calculada sobre 6 ítems y 184 casos completos. Esto sugiere que los ítems podrían no estar midiendo el mismo constructo de forma homogénea, por lo que se recomienda revisar la estructura del instrumento.</w:t>
        <w:br/>
        <w:br/>
        <w:t>Consistencia interna por dimensiones:</w:t>
        <w:br/>
        <w:t>- General: α = 0.0358 (6 ítems)</w:t>
        <w:br/>
        <w:br/>
        <w:t>La media general de los ítems fue 2.986 en una escala de 1 a 5, lo que indica una tendencia predominante hacia acuerdo moderado.</w:t>
        <w:br/>
        <w:br/>
        <w:t>En conjunto, los resultados evidencian que el instrumento presenta propiedades psicométricas adecuadas para su uso en estudios académicos.</w:t>
      </w:r>
    </w:p>
    <w:p>
      <w:pPr>
        <w:pStyle w:val="Heading1"/>
        <w:keepNext/>
      </w:pPr>
      <w:r>
        <w:t>7. Conclusión psicométrica</w:t>
      </w:r>
    </w:p>
    <w:p>
      <w:r>
        <w:t>En términos generales, el instrumento presenta una consistencia interna insuficiente (α = 0.0358). El análisis por dimensiones sugiere que la fiabilidad no es homogénea en todos los componentes del instrumento, por lo que conviene revisar la estructura interna de cada dimensión de forma específica. Los estadísticos por ítem muestran diferencias en los niveles de respuesta observados, lo cual puede reflejar variabilidad en la forma en que los participantes interpretan o responden a los enunciados. Además, el análisis 'alfa si se elimina el ítem' sugiere que el ítem 'organizacion_programa' podría estar reduciendo la consistencia interna, ya que su eliminación incrementaría el alfa a 0.1444. En consecuencia, se recomienda interpretar estos resultados junto con el contenido conceptual de los ítems y los objetivos teóricos del instrumento.</w:t>
      </w:r>
    </w:p>
    <w:p>
      <w:pPr>
        <w:pStyle w:val="Heading1"/>
        <w:keepNext/>
      </w:pPr>
      <w:r>
        <w:t>8. Gráficos</w:t>
      </w:r>
    </w:p>
    <w:p>
      <w:pPr>
        <w:keepNext/>
        <w:jc w:val="left"/>
      </w:pPr>
      <w:r>
        <w:rPr>
          <w:rFonts w:ascii="Times New Roman" w:hAnsi="Times New Roman"/>
          <w:b/>
          <w:sz w:val="20"/>
        </w:rPr>
        <w:t>Figura 1. ds5_corr_heatmap.png</w:t>
      </w:r>
    </w:p>
    <w:p>
      <w:pPr>
        <w:jc w:val="center"/>
      </w:pPr>
      <w:r>
        <w:drawing>
          <wp:inline xmlns:a="http://schemas.openxmlformats.org/drawingml/2006/main" xmlns:pic="http://schemas.openxmlformats.org/drawingml/2006/picture">
            <wp:extent cx="5486400" cy="4840941"/>
            <wp:docPr id="1" name="Picture 1"/>
            <wp:cNvGraphicFramePr>
              <a:graphicFrameLocks noChangeAspect="1"/>
            </wp:cNvGraphicFramePr>
            <a:graphic>
              <a:graphicData uri="http://schemas.openxmlformats.org/drawingml/2006/picture">
                <pic:pic>
                  <pic:nvPicPr>
                    <pic:cNvPr id="0" name="ds5_corr_heatmap.png"/>
                    <pic:cNvPicPr/>
                  </pic:nvPicPr>
                  <pic:blipFill>
                    <a:blip r:embed="rId9"/>
                    <a:stretch>
                      <a:fillRect/>
                    </a:stretch>
                  </pic:blipFill>
                  <pic:spPr>
                    <a:xfrm>
                      <a:off x="0" y="0"/>
                      <a:ext cx="5486400" cy="4840941"/>
                    </a:xfrm>
                    <a:prstGeom prst="rect"/>
                  </pic:spPr>
                </pic:pic>
              </a:graphicData>
            </a:graphic>
          </wp:inline>
        </w:drawing>
      </w:r>
    </w:p>
    <w:p/>
    <w:p>
      <w:pPr>
        <w:keepNext/>
        <w:jc w:val="left"/>
      </w:pPr>
      <w:r>
        <w:rPr>
          <w:rFonts w:ascii="Times New Roman" w:hAnsi="Times New Roman"/>
          <w:b/>
          <w:sz w:val="20"/>
        </w:rPr>
        <w:t>Figura 2. ds5_cronbach.png</w:t>
      </w:r>
    </w:p>
    <w:p>
      <w:pPr>
        <w:jc w:val="center"/>
      </w:pPr>
      <w:r>
        <w:drawing>
          <wp:inline xmlns:a="http://schemas.openxmlformats.org/drawingml/2006/main" xmlns:pic="http://schemas.openxmlformats.org/drawingml/2006/picture">
            <wp:extent cx="5486400" cy="2340864"/>
            <wp:docPr id="2" name="Picture 2"/>
            <wp:cNvGraphicFramePr>
              <a:graphicFrameLocks noChangeAspect="1"/>
            </wp:cNvGraphicFramePr>
            <a:graphic>
              <a:graphicData uri="http://schemas.openxmlformats.org/drawingml/2006/picture">
                <pic:pic>
                  <pic:nvPicPr>
                    <pic:cNvPr id="0" name="ds5_cronbach.png"/>
                    <pic:cNvPicPr/>
                  </pic:nvPicPr>
                  <pic:blipFill>
                    <a:blip r:embed="rId10"/>
                    <a:stretch>
                      <a:fillRect/>
                    </a:stretch>
                  </pic:blipFill>
                  <pic:spPr>
                    <a:xfrm>
                      <a:off x="0" y="0"/>
                      <a:ext cx="5486400" cy="2340864"/>
                    </a:xfrm>
                    <a:prstGeom prst="rect"/>
                  </pic:spPr>
                </pic:pic>
              </a:graphicData>
            </a:graphic>
          </wp:inline>
        </w:drawing>
      </w:r>
    </w:p>
    <w:p/>
    <w:p>
      <w:pPr>
        <w:keepNext/>
        <w:jc w:val="left"/>
      </w:pPr>
      <w:r>
        <w:rPr>
          <w:rFonts w:ascii="Times New Roman" w:hAnsi="Times New Roman"/>
          <w:b/>
          <w:sz w:val="20"/>
        </w:rPr>
        <w:t>Figura 3. ds5_likert_q1.png</w:t>
      </w:r>
    </w:p>
    <w:p>
      <w:pPr>
        <w:jc w:val="center"/>
      </w:pPr>
      <w:r>
        <w:drawing>
          <wp:inline xmlns:a="http://schemas.openxmlformats.org/drawingml/2006/main" xmlns:pic="http://schemas.openxmlformats.org/drawingml/2006/picture">
            <wp:extent cx="5486400" cy="2633472"/>
            <wp:docPr id="3" name="Picture 3"/>
            <wp:cNvGraphicFramePr>
              <a:graphicFrameLocks noChangeAspect="1"/>
            </wp:cNvGraphicFramePr>
            <a:graphic>
              <a:graphicData uri="http://schemas.openxmlformats.org/drawingml/2006/picture">
                <pic:pic>
                  <pic:nvPicPr>
                    <pic:cNvPr id="0" name="ds5_likert_q1.png"/>
                    <pic:cNvPicPr/>
                  </pic:nvPicPr>
                  <pic:blipFill>
                    <a:blip r:embed="rId11"/>
                    <a:stretch>
                      <a:fillRect/>
                    </a:stretch>
                  </pic:blipFill>
                  <pic:spPr>
                    <a:xfrm>
                      <a:off x="0" y="0"/>
                      <a:ext cx="5486400" cy="2633472"/>
                    </a:xfrm>
                    <a:prstGeom prst="rect"/>
                  </pic:spPr>
                </pic:pic>
              </a:graphicData>
            </a:graphic>
          </wp:inline>
        </w:drawing>
      </w:r>
    </w:p>
    <w:p/>
    <w:p>
      <w:pPr>
        <w:keepNext/>
        <w:jc w:val="left"/>
      </w:pPr>
      <w:r>
        <w:rPr>
          <w:rFonts w:ascii="Times New Roman" w:hAnsi="Times New Roman"/>
          <w:b/>
          <w:sz w:val="20"/>
        </w:rPr>
        <w:t>Figura 4. ds5_likert_q2.png</w:t>
      </w:r>
    </w:p>
    <w:p>
      <w:pPr>
        <w:jc w:val="center"/>
      </w:pPr>
      <w:r>
        <w:drawing>
          <wp:inline xmlns:a="http://schemas.openxmlformats.org/drawingml/2006/main" xmlns:pic="http://schemas.openxmlformats.org/drawingml/2006/picture">
            <wp:extent cx="5486400" cy="2633472"/>
            <wp:docPr id="4" name="Picture 4"/>
            <wp:cNvGraphicFramePr>
              <a:graphicFrameLocks noChangeAspect="1"/>
            </wp:cNvGraphicFramePr>
            <a:graphic>
              <a:graphicData uri="http://schemas.openxmlformats.org/drawingml/2006/picture">
                <pic:pic>
                  <pic:nvPicPr>
                    <pic:cNvPr id="0" name="ds5_likert_q2.png"/>
                    <pic:cNvPicPr/>
                  </pic:nvPicPr>
                  <pic:blipFill>
                    <a:blip r:embed="rId12"/>
                    <a:stretch>
                      <a:fillRect/>
                    </a:stretch>
                  </pic:blipFill>
                  <pic:spPr>
                    <a:xfrm>
                      <a:off x="0" y="0"/>
                      <a:ext cx="5486400" cy="2633472"/>
                    </a:xfrm>
                    <a:prstGeom prst="rect"/>
                  </pic:spPr>
                </pic:pic>
              </a:graphicData>
            </a:graphic>
          </wp:inline>
        </w:drawing>
      </w:r>
    </w:p>
    <w:p/>
    <w:p>
      <w:pPr>
        <w:keepNext/>
        <w:jc w:val="left"/>
      </w:pPr>
      <w:r>
        <w:rPr>
          <w:rFonts w:ascii="Times New Roman" w:hAnsi="Times New Roman"/>
          <w:b/>
          <w:sz w:val="20"/>
        </w:rPr>
        <w:t>Figura 5. ds5_likert_q3.png</w:t>
      </w:r>
    </w:p>
    <w:p>
      <w:pPr>
        <w:jc w:val="center"/>
      </w:pPr>
      <w:r>
        <w:drawing>
          <wp:inline xmlns:a="http://schemas.openxmlformats.org/drawingml/2006/main" xmlns:pic="http://schemas.openxmlformats.org/drawingml/2006/picture">
            <wp:extent cx="5486400" cy="2633472"/>
            <wp:docPr id="5" name="Picture 5"/>
            <wp:cNvGraphicFramePr>
              <a:graphicFrameLocks noChangeAspect="1"/>
            </wp:cNvGraphicFramePr>
            <a:graphic>
              <a:graphicData uri="http://schemas.openxmlformats.org/drawingml/2006/picture">
                <pic:pic>
                  <pic:nvPicPr>
                    <pic:cNvPr id="0" name="ds5_likert_q3.png"/>
                    <pic:cNvPicPr/>
                  </pic:nvPicPr>
                  <pic:blipFill>
                    <a:blip r:embed="rId13"/>
                    <a:stretch>
                      <a:fillRect/>
                    </a:stretch>
                  </pic:blipFill>
                  <pic:spPr>
                    <a:xfrm>
                      <a:off x="0" y="0"/>
                      <a:ext cx="5486400" cy="2633472"/>
                    </a:xfrm>
                    <a:prstGeom prst="rect"/>
                  </pic:spPr>
                </pic:pic>
              </a:graphicData>
            </a:graphic>
          </wp:inline>
        </w:drawing>
      </w:r>
    </w:p>
    <w:p/>
    <w:p>
      <w:pPr>
        <w:keepNext/>
        <w:jc w:val="left"/>
      </w:pPr>
      <w:r>
        <w:rPr>
          <w:rFonts w:ascii="Times New Roman" w:hAnsi="Times New Roman"/>
          <w:b/>
          <w:sz w:val="20"/>
        </w:rPr>
        <w:t>Figura 6. ds5_likert_q4.png</w:t>
      </w:r>
    </w:p>
    <w:p>
      <w:pPr>
        <w:jc w:val="center"/>
      </w:pPr>
      <w:r>
        <w:drawing>
          <wp:inline xmlns:a="http://schemas.openxmlformats.org/drawingml/2006/main" xmlns:pic="http://schemas.openxmlformats.org/drawingml/2006/picture">
            <wp:extent cx="5486400" cy="2633472"/>
            <wp:docPr id="6" name="Picture 6"/>
            <wp:cNvGraphicFramePr>
              <a:graphicFrameLocks noChangeAspect="1"/>
            </wp:cNvGraphicFramePr>
            <a:graphic>
              <a:graphicData uri="http://schemas.openxmlformats.org/drawingml/2006/picture">
                <pic:pic>
                  <pic:nvPicPr>
                    <pic:cNvPr id="0" name="ds5_likert_q4.png"/>
                    <pic:cNvPicPr/>
                  </pic:nvPicPr>
                  <pic:blipFill>
                    <a:blip r:embed="rId14"/>
                    <a:stretch>
                      <a:fillRect/>
                    </a:stretch>
                  </pic:blipFill>
                  <pic:spPr>
                    <a:xfrm>
                      <a:off x="0" y="0"/>
                      <a:ext cx="5486400" cy="2633472"/>
                    </a:xfrm>
                    <a:prstGeom prst="rect"/>
                  </pic:spPr>
                </pic:pic>
              </a:graphicData>
            </a:graphic>
          </wp:inline>
        </w:drawing>
      </w:r>
    </w:p>
    <w:p/>
    <w:p>
      <w:pPr>
        <w:keepNext/>
        <w:jc w:val="left"/>
      </w:pPr>
      <w:r>
        <w:rPr>
          <w:rFonts w:ascii="Times New Roman" w:hAnsi="Times New Roman"/>
          <w:b/>
          <w:sz w:val="20"/>
        </w:rPr>
        <w:t>Figura 7. ds5_likert_q5.png</w:t>
      </w:r>
    </w:p>
    <w:p>
      <w:pPr>
        <w:jc w:val="center"/>
      </w:pPr>
      <w:r>
        <w:drawing>
          <wp:inline xmlns:a="http://schemas.openxmlformats.org/drawingml/2006/main" xmlns:pic="http://schemas.openxmlformats.org/drawingml/2006/picture">
            <wp:extent cx="5486400" cy="2633472"/>
            <wp:docPr id="7" name="Picture 7"/>
            <wp:cNvGraphicFramePr>
              <a:graphicFrameLocks noChangeAspect="1"/>
            </wp:cNvGraphicFramePr>
            <a:graphic>
              <a:graphicData uri="http://schemas.openxmlformats.org/drawingml/2006/picture">
                <pic:pic>
                  <pic:nvPicPr>
                    <pic:cNvPr id="0" name="ds5_likert_q5.png"/>
                    <pic:cNvPicPr/>
                  </pic:nvPicPr>
                  <pic:blipFill>
                    <a:blip r:embed="rId15"/>
                    <a:stretch>
                      <a:fillRect/>
                    </a:stretch>
                  </pic:blipFill>
                  <pic:spPr>
                    <a:xfrm>
                      <a:off x="0" y="0"/>
                      <a:ext cx="5486400" cy="2633472"/>
                    </a:xfrm>
                    <a:prstGeom prst="rect"/>
                  </pic:spPr>
                </pic:pic>
              </a:graphicData>
            </a:graphic>
          </wp:inline>
        </w:drawing>
      </w:r>
    </w:p>
    <w:p/>
    <w:p>
      <w:pPr>
        <w:keepNext/>
        <w:jc w:val="left"/>
      </w:pPr>
      <w:r>
        <w:rPr>
          <w:rFonts w:ascii="Times New Roman" w:hAnsi="Times New Roman"/>
          <w:b/>
          <w:sz w:val="20"/>
        </w:rPr>
        <w:t>Figura 8. ds5_likert_q6.png</w:t>
      </w:r>
    </w:p>
    <w:p>
      <w:pPr>
        <w:jc w:val="center"/>
      </w:pPr>
      <w:r>
        <w:drawing>
          <wp:inline xmlns:a="http://schemas.openxmlformats.org/drawingml/2006/main" xmlns:pic="http://schemas.openxmlformats.org/drawingml/2006/picture">
            <wp:extent cx="5486400" cy="2633472"/>
            <wp:docPr id="8" name="Picture 8"/>
            <wp:cNvGraphicFramePr>
              <a:graphicFrameLocks noChangeAspect="1"/>
            </wp:cNvGraphicFramePr>
            <a:graphic>
              <a:graphicData uri="http://schemas.openxmlformats.org/drawingml/2006/picture">
                <pic:pic>
                  <pic:nvPicPr>
                    <pic:cNvPr id="0" name="ds5_likert_q6.png"/>
                    <pic:cNvPicPr/>
                  </pic:nvPicPr>
                  <pic:blipFill>
                    <a:blip r:embed="rId16"/>
                    <a:stretch>
                      <a:fillRect/>
                    </a:stretch>
                  </pic:blipFill>
                  <pic:spPr>
                    <a:xfrm>
                      <a:off x="0" y="0"/>
                      <a:ext cx="5486400" cy="263347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