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rFonts w:ascii="Times New Roman" w:hAnsi="Times New Roman"/>
          <w:b/>
          <w:sz w:val="36"/>
        </w:rPr>
        <w:t>INFORME PSICOMÉTRICO</w:t>
      </w:r>
    </w:p>
    <w:p>
      <w:pPr>
        <w:jc w:val="center"/>
      </w:pPr>
      <w:r>
        <w:rPr>
          <w:rFonts w:ascii="Times New Roman" w:hAnsi="Times New Roman"/>
          <w:sz w:val="26"/>
        </w:rPr>
        <w:t>Liker 7</w:t>
      </w:r>
    </w:p>
    <w:p/>
    <w:p>
      <w:pPr>
        <w:jc w:val="center"/>
      </w:pPr>
      <w:r>
        <w:rPr>
          <w:rFonts w:ascii="Times New Roman" w:hAnsi="Times New Roman"/>
          <w:sz w:val="22"/>
        </w:rPr>
        <w:t>Fecha: 2026-03-13</w:t>
      </w:r>
    </w:p>
    <w:p>
      <w:pPr>
        <w:jc w:val="center"/>
      </w:pPr>
      <w:r>
        <w:rPr>
          <w:rFonts w:ascii="Times New Roman" w:hAnsi="Times New Roman"/>
          <w:sz w:val="22"/>
        </w:rPr>
        <w:t>Participantes: 200</w:t>
      </w:r>
    </w:p>
    <w:p>
      <w:pPr>
        <w:jc w:val="center"/>
      </w:pPr>
      <w:r>
        <w:rPr>
          <w:rFonts w:ascii="Times New Roman" w:hAnsi="Times New Roman"/>
          <w:sz w:val="22"/>
        </w:rPr>
        <w:t>Escala Likert: 7 puntos</w:t>
      </w:r>
    </w:p>
    <w:p>
      <w:pPr>
        <w:jc w:val="center"/>
      </w:pPr>
      <w:r>
        <w:rPr>
          <w:rFonts w:ascii="Times New Roman" w:hAnsi="Times New Roman"/>
          <w:sz w:val="22"/>
        </w:rPr>
        <w:t>Número de ítems: 8</w:t>
      </w:r>
    </w:p>
    <w:p/>
    <w:p>
      <w:pPr>
        <w:jc w:val="center"/>
      </w:pPr>
      <w:r>
        <w:rPr>
          <w:rFonts w:ascii="Times New Roman" w:hAnsi="Times New Roman"/>
          <w:i/>
          <w:sz w:val="20"/>
        </w:rPr>
        <w:t>Generado automáticamente por SADI</w:t>
      </w:r>
    </w:p>
    <w:p>
      <w:r>
        <w:br w:type="page"/>
      </w:r>
    </w:p>
    <w:p>
      <w:pPr>
        <w:pStyle w:val="Heading1"/>
        <w:keepNext/>
      </w:pPr>
      <w:r>
        <w:t>Resumen ejecutivo</w:t>
      </w:r>
    </w:p>
    <w:p>
      <w:r>
        <w:t>Resultados del análisis psicométrico</w:t>
      </w:r>
    </w:p>
    <w:p>
      <w:r>
        <w:t>El instrumento presenta una consistencia interna cuestionable (α = 0.699), calculada sobre 8 ítems y 200 casos completos. Esto sugiere que los ítems podrían no estar midiendo el mismo constructo de forma homogénea, por lo que se recomienda revisar la estructura del instrumento.</w:t>
      </w:r>
    </w:p>
    <w:p>
      <w:r>
        <w:t>Consistencia interna por dimensiones:</w:t>
      </w:r>
    </w:p>
    <w:p>
      <w:r>
        <w:t>- General: α = 0.6987 (8 ítems)</w:t>
      </w:r>
    </w:p>
    <w:p>
      <w:r>
        <w:t>La media general de los ítems fue 5.033 en una escala de 1 a 7, lo que indica una tendencia predominante hacia acuerdo alto.</w:t>
      </w:r>
    </w:p>
    <w:p>
      <w:r>
        <w:t>En conjunto, los resultados evidencian que el instrumento presenta propiedades psicométricas adecuadas para su uso en estudios académicos.</w:t>
      </w:r>
    </w:p>
    <w:p>
      <w:pPr>
        <w:pStyle w:val="Heading1"/>
        <w:keepNext/>
      </w:pPr>
      <w:r>
        <w:t>1. Descripción del instrumento</w:t>
      </w:r>
    </w:p>
    <w:p>
      <w:r>
        <w:t>Se analizó un instrumento tipo Likert de 7 puntos, compuesto por 8 ítems y aplicado a 200 participantes. El presente informe tiene por finalidad describir el comportamiento psicométrico del instrumento, incluyendo consistencia interna, análisis por ítem, análisis por dimensión, adecuación factorial y representación gráfica de resultados.</w:t>
      </w:r>
    </w:p>
    <w:p>
      <w:pPr>
        <w:pStyle w:val="Heading1"/>
        <w:keepNext/>
      </w:pPr>
      <w:r>
        <w:t>2. Hallazgos clave</w:t>
      </w:r>
    </w:p>
    <w:p>
      <w:pPr>
        <w:pStyle w:val="ListBullet"/>
      </w:pPr>
      <w:r>
        <w:t>La muestra analizada estuvo conformada por 200 participantes.</w:t>
      </w:r>
    </w:p>
    <w:p>
      <w:pPr>
        <w:pStyle w:val="ListBullet"/>
      </w:pPr>
      <w:r>
        <w:t>El instrumento fue procesado como una escala Likert de 7 puntos.</w:t>
      </w:r>
    </w:p>
    <w:p>
      <w:pPr>
        <w:pStyle w:val="ListBullet"/>
      </w:pPr>
      <w:r>
        <w:t>El alfa de Cronbach global alcanzó un valor de 0.6987.</w:t>
      </w:r>
    </w:p>
    <w:p>
      <w:pPr>
        <w:pStyle w:val="ListBullet"/>
      </w:pPr>
      <w:r>
        <w:t>Se evaluó la consistencia interna en 1 dimensiones del instrumento.</w:t>
      </w:r>
    </w:p>
    <w:p>
      <w:pPr>
        <w:pStyle w:val="ListBullet"/>
      </w:pPr>
      <w:r>
        <w:t>El ítem 'evaluacion_aprendizaje' aparece como candidato a revisión, pues su eliminación elevaría el alfa a 0.7004.</w:t>
      </w:r>
    </w:p>
    <w:p>
      <w:pPr>
        <w:pStyle w:val="Heading1"/>
        <w:keepNext/>
      </w:pPr>
      <w:r>
        <w:t>3. Consistencia interna</w:t>
      </w:r>
    </w:p>
    <w:p>
      <w:r>
        <w:t>Alfa de Cronbach global: 0.6987</w:t>
      </w:r>
    </w:p>
    <w:p>
      <w:r>
        <w:t>El instrumento presenta una consistencia interna cuestionable (α = 0.699), calculada sobre 8 ítems y 200 casos completos. Esto sugiere que los ítems podrían no estar midiendo el mismo constructo de forma homogénea, por lo que se recomienda revisar la estructura del instrumento.</w:t>
      </w:r>
    </w:p>
    <w:p>
      <w:pPr>
        <w:pStyle w:val="Heading2"/>
        <w:keepNext/>
      </w:pPr>
      <w:r>
        <w:t>3.1 Alfa si se elimina el ítem</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Times New Roman" w:hAnsi="Times New Roman"/>
                <w:b/>
                <w:sz w:val="20"/>
              </w:rPr>
              <w:t>Ítem</w:t>
            </w:r>
          </w:p>
        </w:tc>
        <w:tc>
          <w:tcPr>
            <w:tcW w:type="dxa" w:w="5040"/>
          </w:tcPr>
          <w:p>
            <w:r>
              <w:rPr>
                <w:rFonts w:ascii="Times New Roman" w:hAnsi="Times New Roman"/>
                <w:b/>
                <w:sz w:val="20"/>
              </w:rPr>
              <w:t>Alfa si se elimina</w:t>
            </w:r>
          </w:p>
        </w:tc>
      </w:tr>
      <w:tr>
        <w:tc>
          <w:tcPr>
            <w:tcW w:type="dxa" w:w="5040"/>
          </w:tcPr>
          <w:p>
            <w:r>
              <w:rPr>
                <w:rFonts w:ascii="Times New Roman" w:hAnsi="Times New Roman"/>
                <w:sz w:val="20"/>
              </w:rPr>
              <w:t>claridad_clases</w:t>
            </w:r>
          </w:p>
        </w:tc>
        <w:tc>
          <w:tcPr>
            <w:tcW w:type="dxa" w:w="5040"/>
          </w:tcPr>
          <w:p>
            <w:r>
              <w:rPr>
                <w:rFonts w:ascii="Times New Roman" w:hAnsi="Times New Roman"/>
                <w:sz w:val="20"/>
              </w:rPr>
              <w:t>0.6708</w:t>
            </w:r>
          </w:p>
        </w:tc>
      </w:tr>
      <w:tr>
        <w:tc>
          <w:tcPr>
            <w:tcW w:type="dxa" w:w="5040"/>
          </w:tcPr>
          <w:p>
            <w:r>
              <w:rPr>
                <w:rFonts w:ascii="Times New Roman" w:hAnsi="Times New Roman"/>
                <w:sz w:val="20"/>
              </w:rPr>
              <w:t>organizacion_programa</w:t>
            </w:r>
          </w:p>
        </w:tc>
        <w:tc>
          <w:tcPr>
            <w:tcW w:type="dxa" w:w="5040"/>
          </w:tcPr>
          <w:p>
            <w:r>
              <w:rPr>
                <w:rFonts w:ascii="Times New Roman" w:hAnsi="Times New Roman"/>
                <w:sz w:val="20"/>
              </w:rPr>
              <w:t>0.6664</w:t>
            </w:r>
          </w:p>
        </w:tc>
      </w:tr>
      <w:tr>
        <w:tc>
          <w:tcPr>
            <w:tcW w:type="dxa" w:w="5040"/>
          </w:tcPr>
          <w:p>
            <w:r>
              <w:rPr>
                <w:rFonts w:ascii="Times New Roman" w:hAnsi="Times New Roman"/>
                <w:sz w:val="20"/>
              </w:rPr>
              <w:t>disponibilidad_docentes</w:t>
            </w:r>
          </w:p>
        </w:tc>
        <w:tc>
          <w:tcPr>
            <w:tcW w:type="dxa" w:w="5040"/>
          </w:tcPr>
          <w:p>
            <w:r>
              <w:rPr>
                <w:rFonts w:ascii="Times New Roman" w:hAnsi="Times New Roman"/>
                <w:sz w:val="20"/>
              </w:rPr>
              <w:t>0.6756</w:t>
            </w:r>
          </w:p>
        </w:tc>
      </w:tr>
      <w:tr>
        <w:tc>
          <w:tcPr>
            <w:tcW w:type="dxa" w:w="5040"/>
          </w:tcPr>
          <w:p>
            <w:r>
              <w:rPr>
                <w:rFonts w:ascii="Times New Roman" w:hAnsi="Times New Roman"/>
                <w:sz w:val="20"/>
              </w:rPr>
              <w:t>uso_tecnologia</w:t>
            </w:r>
          </w:p>
        </w:tc>
        <w:tc>
          <w:tcPr>
            <w:tcW w:type="dxa" w:w="5040"/>
          </w:tcPr>
          <w:p>
            <w:r>
              <w:rPr>
                <w:rFonts w:ascii="Times New Roman" w:hAnsi="Times New Roman"/>
                <w:sz w:val="20"/>
              </w:rPr>
              <w:t>0.6924</w:t>
            </w:r>
          </w:p>
        </w:tc>
      </w:tr>
      <w:tr>
        <w:tc>
          <w:tcPr>
            <w:tcW w:type="dxa" w:w="5040"/>
          </w:tcPr>
          <w:p>
            <w:r>
              <w:rPr>
                <w:rFonts w:ascii="Times New Roman" w:hAnsi="Times New Roman"/>
                <w:sz w:val="20"/>
              </w:rPr>
              <w:t>relevancia_contenidos</w:t>
            </w:r>
          </w:p>
        </w:tc>
        <w:tc>
          <w:tcPr>
            <w:tcW w:type="dxa" w:w="5040"/>
          </w:tcPr>
          <w:p>
            <w:r>
              <w:rPr>
                <w:rFonts w:ascii="Times New Roman" w:hAnsi="Times New Roman"/>
                <w:sz w:val="20"/>
              </w:rPr>
              <w:t>0.6685</w:t>
            </w:r>
          </w:p>
        </w:tc>
      </w:tr>
      <w:tr>
        <w:tc>
          <w:tcPr>
            <w:tcW w:type="dxa" w:w="5040"/>
          </w:tcPr>
          <w:p>
            <w:r>
              <w:rPr>
                <w:rFonts w:ascii="Times New Roman" w:hAnsi="Times New Roman"/>
                <w:sz w:val="20"/>
              </w:rPr>
              <w:t>evaluacion_aprendizaje</w:t>
            </w:r>
          </w:p>
        </w:tc>
        <w:tc>
          <w:tcPr>
            <w:tcW w:type="dxa" w:w="5040"/>
          </w:tcPr>
          <w:p>
            <w:r>
              <w:rPr>
                <w:rFonts w:ascii="Times New Roman" w:hAnsi="Times New Roman"/>
                <w:sz w:val="20"/>
              </w:rPr>
              <w:t>0.7004</w:t>
            </w:r>
          </w:p>
        </w:tc>
      </w:tr>
      <w:tr>
        <w:tc>
          <w:tcPr>
            <w:tcW w:type="dxa" w:w="5040"/>
          </w:tcPr>
          <w:p>
            <w:r>
              <w:rPr>
                <w:rFonts w:ascii="Times New Roman" w:hAnsi="Times New Roman"/>
                <w:sz w:val="20"/>
              </w:rPr>
              <w:t>infraestructura_aulas</w:t>
            </w:r>
          </w:p>
        </w:tc>
        <w:tc>
          <w:tcPr>
            <w:tcW w:type="dxa" w:w="5040"/>
          </w:tcPr>
          <w:p>
            <w:r>
              <w:rPr>
                <w:rFonts w:ascii="Times New Roman" w:hAnsi="Times New Roman"/>
                <w:sz w:val="20"/>
              </w:rPr>
              <w:t>0.6766</w:t>
            </w:r>
          </w:p>
        </w:tc>
      </w:tr>
      <w:tr>
        <w:tc>
          <w:tcPr>
            <w:tcW w:type="dxa" w:w="5040"/>
          </w:tcPr>
          <w:p>
            <w:r>
              <w:rPr>
                <w:rFonts w:ascii="Times New Roman" w:hAnsi="Times New Roman"/>
                <w:sz w:val="20"/>
              </w:rPr>
              <w:t>satisfaccion_general</w:t>
            </w:r>
          </w:p>
        </w:tc>
        <w:tc>
          <w:tcPr>
            <w:tcW w:type="dxa" w:w="5040"/>
          </w:tcPr>
          <w:p>
            <w:r>
              <w:rPr>
                <w:rFonts w:ascii="Times New Roman" w:hAnsi="Times New Roman"/>
                <w:sz w:val="20"/>
              </w:rPr>
              <w:t>0.6030</w:t>
            </w:r>
          </w:p>
        </w:tc>
      </w:tr>
    </w:tbl>
    <w:p/>
    <w:p>
      <w:pPr>
        <w:pStyle w:val="Heading1"/>
        <w:keepNext/>
      </w:pPr>
      <w:r>
        <w:t>4. Estadísticos por ítem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20"/>
              </w:rPr>
              <w:t>Ítem</w:t>
            </w:r>
          </w:p>
        </w:tc>
        <w:tc>
          <w:tcPr>
            <w:tcW w:type="dxa" w:w="2016"/>
          </w:tcPr>
          <w:p>
            <w:r>
              <w:rPr>
                <w:rFonts w:ascii="Times New Roman" w:hAnsi="Times New Roman"/>
                <w:b/>
                <w:sz w:val="20"/>
              </w:rPr>
              <w:t>Media</w:t>
            </w:r>
          </w:p>
        </w:tc>
        <w:tc>
          <w:tcPr>
            <w:tcW w:type="dxa" w:w="2016"/>
          </w:tcPr>
          <w:p>
            <w:r>
              <w:rPr>
                <w:rFonts w:ascii="Times New Roman" w:hAnsi="Times New Roman"/>
                <w:b/>
                <w:sz w:val="20"/>
              </w:rPr>
              <w:t>Mediana</w:t>
            </w:r>
          </w:p>
        </w:tc>
        <w:tc>
          <w:tcPr>
            <w:tcW w:type="dxa" w:w="2016"/>
          </w:tcPr>
          <w:p>
            <w:r>
              <w:rPr>
                <w:rFonts w:ascii="Times New Roman" w:hAnsi="Times New Roman"/>
                <w:b/>
                <w:sz w:val="20"/>
              </w:rPr>
              <w:t>Desv. estándar</w:t>
            </w:r>
          </w:p>
        </w:tc>
        <w:tc>
          <w:tcPr>
            <w:tcW w:type="dxa" w:w="2016"/>
          </w:tcPr>
          <w:p>
            <w:r>
              <w:rPr>
                <w:rFonts w:ascii="Times New Roman" w:hAnsi="Times New Roman"/>
                <w:b/>
                <w:sz w:val="20"/>
              </w:rPr>
              <w:t>N válido</w:t>
            </w:r>
          </w:p>
        </w:tc>
      </w:tr>
      <w:tr>
        <w:tc>
          <w:tcPr>
            <w:tcW w:type="dxa" w:w="2016"/>
          </w:tcPr>
          <w:p>
            <w:r>
              <w:rPr>
                <w:rFonts w:ascii="Times New Roman" w:hAnsi="Times New Roman"/>
                <w:sz w:val="20"/>
              </w:rPr>
              <w:t>claridad_clases</w:t>
            </w:r>
          </w:p>
        </w:tc>
        <w:tc>
          <w:tcPr>
            <w:tcW w:type="dxa" w:w="2016"/>
          </w:tcPr>
          <w:p>
            <w:r>
              <w:rPr>
                <w:rFonts w:ascii="Times New Roman" w:hAnsi="Times New Roman"/>
                <w:sz w:val="20"/>
              </w:rPr>
              <w:t>5.175</w:t>
            </w:r>
          </w:p>
        </w:tc>
        <w:tc>
          <w:tcPr>
            <w:tcW w:type="dxa" w:w="2016"/>
          </w:tcPr>
          <w:p>
            <w:r>
              <w:rPr>
                <w:rFonts w:ascii="Times New Roman" w:hAnsi="Times New Roman"/>
                <w:sz w:val="20"/>
              </w:rPr>
              <w:t>5.000</w:t>
            </w:r>
          </w:p>
        </w:tc>
        <w:tc>
          <w:tcPr>
            <w:tcW w:type="dxa" w:w="2016"/>
          </w:tcPr>
          <w:p>
            <w:r>
              <w:rPr>
                <w:rFonts w:ascii="Times New Roman" w:hAnsi="Times New Roman"/>
                <w:sz w:val="20"/>
              </w:rPr>
              <w:t>1.136</w:t>
            </w:r>
          </w:p>
        </w:tc>
        <w:tc>
          <w:tcPr>
            <w:tcW w:type="dxa" w:w="2016"/>
          </w:tcPr>
          <w:p>
            <w:r>
              <w:rPr>
                <w:rFonts w:ascii="Times New Roman" w:hAnsi="Times New Roman"/>
                <w:sz w:val="20"/>
              </w:rPr>
              <w:t>200</w:t>
            </w:r>
          </w:p>
        </w:tc>
      </w:tr>
      <w:tr>
        <w:tc>
          <w:tcPr>
            <w:tcW w:type="dxa" w:w="2016"/>
          </w:tcPr>
          <w:p>
            <w:r>
              <w:rPr>
                <w:rFonts w:ascii="Times New Roman" w:hAnsi="Times New Roman"/>
                <w:sz w:val="20"/>
              </w:rPr>
              <w:t>organizacion_programa</w:t>
            </w:r>
          </w:p>
        </w:tc>
        <w:tc>
          <w:tcPr>
            <w:tcW w:type="dxa" w:w="2016"/>
          </w:tcPr>
          <w:p>
            <w:r>
              <w:rPr>
                <w:rFonts w:ascii="Times New Roman" w:hAnsi="Times New Roman"/>
                <w:sz w:val="20"/>
              </w:rPr>
              <w:t>5.075</w:t>
            </w:r>
          </w:p>
        </w:tc>
        <w:tc>
          <w:tcPr>
            <w:tcW w:type="dxa" w:w="2016"/>
          </w:tcPr>
          <w:p>
            <w:r>
              <w:rPr>
                <w:rFonts w:ascii="Times New Roman" w:hAnsi="Times New Roman"/>
                <w:sz w:val="20"/>
              </w:rPr>
              <w:t>5.000</w:t>
            </w:r>
          </w:p>
        </w:tc>
        <w:tc>
          <w:tcPr>
            <w:tcW w:type="dxa" w:w="2016"/>
          </w:tcPr>
          <w:p>
            <w:r>
              <w:rPr>
                <w:rFonts w:ascii="Times New Roman" w:hAnsi="Times New Roman"/>
                <w:sz w:val="20"/>
              </w:rPr>
              <w:t>1.173</w:t>
            </w:r>
          </w:p>
        </w:tc>
        <w:tc>
          <w:tcPr>
            <w:tcW w:type="dxa" w:w="2016"/>
          </w:tcPr>
          <w:p>
            <w:r>
              <w:rPr>
                <w:rFonts w:ascii="Times New Roman" w:hAnsi="Times New Roman"/>
                <w:sz w:val="20"/>
              </w:rPr>
              <w:t>200</w:t>
            </w:r>
          </w:p>
        </w:tc>
      </w:tr>
      <w:tr>
        <w:tc>
          <w:tcPr>
            <w:tcW w:type="dxa" w:w="2016"/>
          </w:tcPr>
          <w:p>
            <w:r>
              <w:rPr>
                <w:rFonts w:ascii="Times New Roman" w:hAnsi="Times New Roman"/>
                <w:sz w:val="20"/>
              </w:rPr>
              <w:t>disponibilidad_docentes</w:t>
            </w:r>
          </w:p>
        </w:tc>
        <w:tc>
          <w:tcPr>
            <w:tcW w:type="dxa" w:w="2016"/>
          </w:tcPr>
          <w:p>
            <w:r>
              <w:rPr>
                <w:rFonts w:ascii="Times New Roman" w:hAnsi="Times New Roman"/>
                <w:sz w:val="20"/>
              </w:rPr>
              <w:t>5.195</w:t>
            </w:r>
          </w:p>
        </w:tc>
        <w:tc>
          <w:tcPr>
            <w:tcW w:type="dxa" w:w="2016"/>
          </w:tcPr>
          <w:p>
            <w:r>
              <w:rPr>
                <w:rFonts w:ascii="Times New Roman" w:hAnsi="Times New Roman"/>
                <w:sz w:val="20"/>
              </w:rPr>
              <w:t>5.000</w:t>
            </w:r>
          </w:p>
        </w:tc>
        <w:tc>
          <w:tcPr>
            <w:tcW w:type="dxa" w:w="2016"/>
          </w:tcPr>
          <w:p>
            <w:r>
              <w:rPr>
                <w:rFonts w:ascii="Times New Roman" w:hAnsi="Times New Roman"/>
                <w:sz w:val="20"/>
              </w:rPr>
              <w:t>1.064</w:t>
            </w:r>
          </w:p>
        </w:tc>
        <w:tc>
          <w:tcPr>
            <w:tcW w:type="dxa" w:w="2016"/>
          </w:tcPr>
          <w:p>
            <w:r>
              <w:rPr>
                <w:rFonts w:ascii="Times New Roman" w:hAnsi="Times New Roman"/>
                <w:sz w:val="20"/>
              </w:rPr>
              <w:t>200</w:t>
            </w:r>
          </w:p>
        </w:tc>
      </w:tr>
      <w:tr>
        <w:tc>
          <w:tcPr>
            <w:tcW w:type="dxa" w:w="2016"/>
          </w:tcPr>
          <w:p>
            <w:r>
              <w:rPr>
                <w:rFonts w:ascii="Times New Roman" w:hAnsi="Times New Roman"/>
                <w:sz w:val="20"/>
              </w:rPr>
              <w:t>uso_tecnologia</w:t>
            </w:r>
          </w:p>
        </w:tc>
        <w:tc>
          <w:tcPr>
            <w:tcW w:type="dxa" w:w="2016"/>
          </w:tcPr>
          <w:p>
            <w:r>
              <w:rPr>
                <w:rFonts w:ascii="Times New Roman" w:hAnsi="Times New Roman"/>
                <w:sz w:val="20"/>
              </w:rPr>
              <w:t>4.850</w:t>
            </w:r>
          </w:p>
        </w:tc>
        <w:tc>
          <w:tcPr>
            <w:tcW w:type="dxa" w:w="2016"/>
          </w:tcPr>
          <w:p>
            <w:r>
              <w:rPr>
                <w:rFonts w:ascii="Times New Roman" w:hAnsi="Times New Roman"/>
                <w:sz w:val="20"/>
              </w:rPr>
              <w:t>5.000</w:t>
            </w:r>
          </w:p>
        </w:tc>
        <w:tc>
          <w:tcPr>
            <w:tcW w:type="dxa" w:w="2016"/>
          </w:tcPr>
          <w:p>
            <w:r>
              <w:rPr>
                <w:rFonts w:ascii="Times New Roman" w:hAnsi="Times New Roman"/>
                <w:sz w:val="20"/>
              </w:rPr>
              <w:t>1.198</w:t>
            </w:r>
          </w:p>
        </w:tc>
        <w:tc>
          <w:tcPr>
            <w:tcW w:type="dxa" w:w="2016"/>
          </w:tcPr>
          <w:p>
            <w:r>
              <w:rPr>
                <w:rFonts w:ascii="Times New Roman" w:hAnsi="Times New Roman"/>
                <w:sz w:val="20"/>
              </w:rPr>
              <w:t>200</w:t>
            </w:r>
          </w:p>
        </w:tc>
      </w:tr>
      <w:tr>
        <w:tc>
          <w:tcPr>
            <w:tcW w:type="dxa" w:w="2016"/>
          </w:tcPr>
          <w:p>
            <w:r>
              <w:rPr>
                <w:rFonts w:ascii="Times New Roman" w:hAnsi="Times New Roman"/>
                <w:sz w:val="20"/>
              </w:rPr>
              <w:t>relevancia_contenidos</w:t>
            </w:r>
          </w:p>
        </w:tc>
        <w:tc>
          <w:tcPr>
            <w:tcW w:type="dxa" w:w="2016"/>
          </w:tcPr>
          <w:p>
            <w:r>
              <w:rPr>
                <w:rFonts w:ascii="Times New Roman" w:hAnsi="Times New Roman"/>
                <w:sz w:val="20"/>
              </w:rPr>
              <w:t>5.245</w:t>
            </w:r>
          </w:p>
        </w:tc>
        <w:tc>
          <w:tcPr>
            <w:tcW w:type="dxa" w:w="2016"/>
          </w:tcPr>
          <w:p>
            <w:r>
              <w:rPr>
                <w:rFonts w:ascii="Times New Roman" w:hAnsi="Times New Roman"/>
                <w:sz w:val="20"/>
              </w:rPr>
              <w:t>5.000</w:t>
            </w:r>
          </w:p>
        </w:tc>
        <w:tc>
          <w:tcPr>
            <w:tcW w:type="dxa" w:w="2016"/>
          </w:tcPr>
          <w:p>
            <w:r>
              <w:rPr>
                <w:rFonts w:ascii="Times New Roman" w:hAnsi="Times New Roman"/>
                <w:sz w:val="20"/>
              </w:rPr>
              <w:t>1.077</w:t>
            </w:r>
          </w:p>
        </w:tc>
        <w:tc>
          <w:tcPr>
            <w:tcW w:type="dxa" w:w="2016"/>
          </w:tcPr>
          <w:p>
            <w:r>
              <w:rPr>
                <w:rFonts w:ascii="Times New Roman" w:hAnsi="Times New Roman"/>
                <w:sz w:val="20"/>
              </w:rPr>
              <w:t>200</w:t>
            </w:r>
          </w:p>
        </w:tc>
      </w:tr>
      <w:tr>
        <w:tc>
          <w:tcPr>
            <w:tcW w:type="dxa" w:w="2016"/>
          </w:tcPr>
          <w:p>
            <w:r>
              <w:rPr>
                <w:rFonts w:ascii="Times New Roman" w:hAnsi="Times New Roman"/>
                <w:sz w:val="20"/>
              </w:rPr>
              <w:t>evaluacion_aprendizaje</w:t>
            </w:r>
          </w:p>
        </w:tc>
        <w:tc>
          <w:tcPr>
            <w:tcW w:type="dxa" w:w="2016"/>
          </w:tcPr>
          <w:p>
            <w:r>
              <w:rPr>
                <w:rFonts w:ascii="Times New Roman" w:hAnsi="Times New Roman"/>
                <w:sz w:val="20"/>
              </w:rPr>
              <w:t>4.965</w:t>
            </w:r>
          </w:p>
        </w:tc>
        <w:tc>
          <w:tcPr>
            <w:tcW w:type="dxa" w:w="2016"/>
          </w:tcPr>
          <w:p>
            <w:r>
              <w:rPr>
                <w:rFonts w:ascii="Times New Roman" w:hAnsi="Times New Roman"/>
                <w:sz w:val="20"/>
              </w:rPr>
              <w:t>5.000</w:t>
            </w:r>
          </w:p>
        </w:tc>
        <w:tc>
          <w:tcPr>
            <w:tcW w:type="dxa" w:w="2016"/>
          </w:tcPr>
          <w:p>
            <w:r>
              <w:rPr>
                <w:rFonts w:ascii="Times New Roman" w:hAnsi="Times New Roman"/>
                <w:sz w:val="20"/>
              </w:rPr>
              <w:t>1.175</w:t>
            </w:r>
          </w:p>
        </w:tc>
        <w:tc>
          <w:tcPr>
            <w:tcW w:type="dxa" w:w="2016"/>
          </w:tcPr>
          <w:p>
            <w:r>
              <w:rPr>
                <w:rFonts w:ascii="Times New Roman" w:hAnsi="Times New Roman"/>
                <w:sz w:val="20"/>
              </w:rPr>
              <w:t>200</w:t>
            </w:r>
          </w:p>
        </w:tc>
      </w:tr>
      <w:tr>
        <w:tc>
          <w:tcPr>
            <w:tcW w:type="dxa" w:w="2016"/>
          </w:tcPr>
          <w:p>
            <w:r>
              <w:rPr>
                <w:rFonts w:ascii="Times New Roman" w:hAnsi="Times New Roman"/>
                <w:sz w:val="20"/>
              </w:rPr>
              <w:t>infraestructura_aulas</w:t>
            </w:r>
          </w:p>
        </w:tc>
        <w:tc>
          <w:tcPr>
            <w:tcW w:type="dxa" w:w="2016"/>
          </w:tcPr>
          <w:p>
            <w:r>
              <w:rPr>
                <w:rFonts w:ascii="Times New Roman" w:hAnsi="Times New Roman"/>
                <w:sz w:val="20"/>
              </w:rPr>
              <w:t>4.750</w:t>
            </w:r>
          </w:p>
        </w:tc>
        <w:tc>
          <w:tcPr>
            <w:tcW w:type="dxa" w:w="2016"/>
          </w:tcPr>
          <w:p>
            <w:r>
              <w:rPr>
                <w:rFonts w:ascii="Times New Roman" w:hAnsi="Times New Roman"/>
                <w:sz w:val="20"/>
              </w:rPr>
              <w:t>5.000</w:t>
            </w:r>
          </w:p>
        </w:tc>
        <w:tc>
          <w:tcPr>
            <w:tcW w:type="dxa" w:w="2016"/>
          </w:tcPr>
          <w:p>
            <w:r>
              <w:rPr>
                <w:rFonts w:ascii="Times New Roman" w:hAnsi="Times New Roman"/>
                <w:sz w:val="20"/>
              </w:rPr>
              <w:t>1.318</w:t>
            </w:r>
          </w:p>
        </w:tc>
        <w:tc>
          <w:tcPr>
            <w:tcW w:type="dxa" w:w="2016"/>
          </w:tcPr>
          <w:p>
            <w:r>
              <w:rPr>
                <w:rFonts w:ascii="Times New Roman" w:hAnsi="Times New Roman"/>
                <w:sz w:val="20"/>
              </w:rPr>
              <w:t>200</w:t>
            </w:r>
          </w:p>
        </w:tc>
      </w:tr>
      <w:tr>
        <w:tc>
          <w:tcPr>
            <w:tcW w:type="dxa" w:w="2016"/>
          </w:tcPr>
          <w:p>
            <w:r>
              <w:rPr>
                <w:rFonts w:ascii="Times New Roman" w:hAnsi="Times New Roman"/>
                <w:sz w:val="20"/>
              </w:rPr>
              <w:t>satisfaccion_general</w:t>
            </w:r>
          </w:p>
        </w:tc>
        <w:tc>
          <w:tcPr>
            <w:tcW w:type="dxa" w:w="2016"/>
          </w:tcPr>
          <w:p>
            <w:r>
              <w:rPr>
                <w:rFonts w:ascii="Times New Roman" w:hAnsi="Times New Roman"/>
                <w:sz w:val="20"/>
              </w:rPr>
              <w:t>5.010</w:t>
            </w:r>
          </w:p>
        </w:tc>
        <w:tc>
          <w:tcPr>
            <w:tcW w:type="dxa" w:w="2016"/>
          </w:tcPr>
          <w:p>
            <w:r>
              <w:rPr>
                <w:rFonts w:ascii="Times New Roman" w:hAnsi="Times New Roman"/>
                <w:sz w:val="20"/>
              </w:rPr>
              <w:t>5.000</w:t>
            </w:r>
          </w:p>
        </w:tc>
        <w:tc>
          <w:tcPr>
            <w:tcW w:type="dxa" w:w="2016"/>
          </w:tcPr>
          <w:p>
            <w:r>
              <w:rPr>
                <w:rFonts w:ascii="Times New Roman" w:hAnsi="Times New Roman"/>
                <w:sz w:val="20"/>
              </w:rPr>
              <w:t>0.730</w:t>
            </w:r>
          </w:p>
        </w:tc>
        <w:tc>
          <w:tcPr>
            <w:tcW w:type="dxa" w:w="2016"/>
          </w:tcPr>
          <w:p>
            <w:r>
              <w:rPr>
                <w:rFonts w:ascii="Times New Roman" w:hAnsi="Times New Roman"/>
                <w:sz w:val="20"/>
              </w:rPr>
              <w:t>200</w:t>
            </w:r>
          </w:p>
        </w:tc>
      </w:tr>
    </w:tbl>
    <w:p/>
    <w:p>
      <w:pPr>
        <w:pStyle w:val="Heading1"/>
        <w:keepNext/>
      </w:pPr>
      <w:r>
        <w:t>5. Consistencia por dimensión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20"/>
              </w:rPr>
              <w:t>Dimensión</w:t>
            </w:r>
          </w:p>
        </w:tc>
        <w:tc>
          <w:tcPr>
            <w:tcW w:type="dxa" w:w="2520"/>
          </w:tcPr>
          <w:p>
            <w:r>
              <w:rPr>
                <w:rFonts w:ascii="Times New Roman" w:hAnsi="Times New Roman"/>
                <w:b/>
                <w:sz w:val="20"/>
              </w:rPr>
              <w:t>Ítems</w:t>
            </w:r>
          </w:p>
        </w:tc>
        <w:tc>
          <w:tcPr>
            <w:tcW w:type="dxa" w:w="2520"/>
          </w:tcPr>
          <w:p>
            <w:r>
              <w:rPr>
                <w:rFonts w:ascii="Times New Roman" w:hAnsi="Times New Roman"/>
                <w:b/>
                <w:sz w:val="20"/>
              </w:rPr>
              <w:t>Alfa</w:t>
            </w:r>
          </w:p>
        </w:tc>
        <w:tc>
          <w:tcPr>
            <w:tcW w:type="dxa" w:w="2520"/>
          </w:tcPr>
          <w:p>
            <w:r>
              <w:rPr>
                <w:rFonts w:ascii="Times New Roman" w:hAnsi="Times New Roman"/>
                <w:b/>
                <w:sz w:val="20"/>
              </w:rPr>
              <w:t>Interpretación</w:t>
            </w:r>
          </w:p>
        </w:tc>
      </w:tr>
      <w:tr>
        <w:tc>
          <w:tcPr>
            <w:tcW w:type="dxa" w:w="2520"/>
          </w:tcPr>
          <w:p>
            <w:r>
              <w:rPr>
                <w:rFonts w:ascii="Times New Roman" w:hAnsi="Times New Roman"/>
                <w:sz w:val="20"/>
              </w:rPr>
              <w:t>General</w:t>
            </w:r>
          </w:p>
        </w:tc>
        <w:tc>
          <w:tcPr>
            <w:tcW w:type="dxa" w:w="2520"/>
          </w:tcPr>
          <w:p>
            <w:r>
              <w:rPr>
                <w:rFonts w:ascii="Times New Roman" w:hAnsi="Times New Roman"/>
                <w:sz w:val="20"/>
              </w:rPr>
            </w:r>
          </w:p>
        </w:tc>
        <w:tc>
          <w:tcPr>
            <w:tcW w:type="dxa" w:w="2520"/>
          </w:tcPr>
          <w:p>
            <w:r>
              <w:rPr>
                <w:rFonts w:ascii="Times New Roman" w:hAnsi="Times New Roman"/>
                <w:sz w:val="20"/>
              </w:rPr>
              <w:t>0.6987</w:t>
            </w:r>
          </w:p>
        </w:tc>
        <w:tc>
          <w:tcPr>
            <w:tcW w:type="dxa" w:w="2520"/>
          </w:tcPr>
          <w:p>
            <w:r>
              <w:rPr>
                <w:rFonts w:ascii="Times New Roman" w:hAnsi="Times New Roman"/>
                <w:sz w:val="20"/>
              </w:rPr>
            </w:r>
          </w:p>
        </w:tc>
      </w:tr>
    </w:tbl>
    <w:p/>
    <w:p>
      <w:pPr>
        <w:pStyle w:val="Heading1"/>
        <w:keepNext/>
      </w:pPr>
      <w:r>
        <w:t>6. Adecuación muestral y estructura factorial</w:t>
      </w:r>
    </w:p>
    <w:p>
      <w:pPr>
        <w:pStyle w:val="Heading2"/>
        <w:keepNext/>
      </w:pPr>
      <w:r>
        <w:t>6.1 Índice KMO</w:t>
      </w:r>
    </w:p>
    <w:p>
      <w:r>
        <w:t>KMO global: 0.6451</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Times New Roman" w:hAnsi="Times New Roman"/>
                <w:b/>
                <w:sz w:val="20"/>
              </w:rPr>
              <w:t>Ítem</w:t>
            </w:r>
          </w:p>
        </w:tc>
        <w:tc>
          <w:tcPr>
            <w:tcW w:type="dxa" w:w="5040"/>
          </w:tcPr>
          <w:p>
            <w:r>
              <w:rPr>
                <w:rFonts w:ascii="Times New Roman" w:hAnsi="Times New Roman"/>
                <w:b/>
                <w:sz w:val="20"/>
              </w:rPr>
              <w:t>KMO</w:t>
            </w:r>
          </w:p>
        </w:tc>
      </w:tr>
      <w:tr>
        <w:tc>
          <w:tcPr>
            <w:tcW w:type="dxa" w:w="5040"/>
          </w:tcPr>
          <w:p>
            <w:r>
              <w:rPr>
                <w:rFonts w:ascii="Times New Roman" w:hAnsi="Times New Roman"/>
                <w:sz w:val="20"/>
              </w:rPr>
              <w:t>claridad_clases</w:t>
            </w:r>
          </w:p>
        </w:tc>
        <w:tc>
          <w:tcPr>
            <w:tcW w:type="dxa" w:w="5040"/>
          </w:tcPr>
          <w:p>
            <w:r>
              <w:rPr>
                <w:rFonts w:ascii="Times New Roman" w:hAnsi="Times New Roman"/>
                <w:sz w:val="20"/>
              </w:rPr>
              <w:t>0.6641</w:t>
            </w:r>
          </w:p>
        </w:tc>
      </w:tr>
      <w:tr>
        <w:tc>
          <w:tcPr>
            <w:tcW w:type="dxa" w:w="5040"/>
          </w:tcPr>
          <w:p>
            <w:r>
              <w:rPr>
                <w:rFonts w:ascii="Times New Roman" w:hAnsi="Times New Roman"/>
                <w:sz w:val="20"/>
              </w:rPr>
              <w:t>organizacion_programa</w:t>
            </w:r>
          </w:p>
        </w:tc>
        <w:tc>
          <w:tcPr>
            <w:tcW w:type="dxa" w:w="5040"/>
          </w:tcPr>
          <w:p>
            <w:r>
              <w:rPr>
                <w:rFonts w:ascii="Times New Roman" w:hAnsi="Times New Roman"/>
                <w:sz w:val="20"/>
              </w:rPr>
              <w:t>0.7739</w:t>
            </w:r>
          </w:p>
        </w:tc>
      </w:tr>
      <w:tr>
        <w:tc>
          <w:tcPr>
            <w:tcW w:type="dxa" w:w="5040"/>
          </w:tcPr>
          <w:p>
            <w:r>
              <w:rPr>
                <w:rFonts w:ascii="Times New Roman" w:hAnsi="Times New Roman"/>
                <w:sz w:val="20"/>
              </w:rPr>
              <w:t>disponibilidad_docentes</w:t>
            </w:r>
          </w:p>
        </w:tc>
        <w:tc>
          <w:tcPr>
            <w:tcW w:type="dxa" w:w="5040"/>
          </w:tcPr>
          <w:p>
            <w:r>
              <w:rPr>
                <w:rFonts w:ascii="Times New Roman" w:hAnsi="Times New Roman"/>
                <w:sz w:val="20"/>
              </w:rPr>
              <w:t>0.7216</w:t>
            </w:r>
          </w:p>
        </w:tc>
      </w:tr>
      <w:tr>
        <w:tc>
          <w:tcPr>
            <w:tcW w:type="dxa" w:w="5040"/>
          </w:tcPr>
          <w:p>
            <w:r>
              <w:rPr>
                <w:rFonts w:ascii="Times New Roman" w:hAnsi="Times New Roman"/>
                <w:sz w:val="20"/>
              </w:rPr>
              <w:t>uso_tecnologia</w:t>
            </w:r>
          </w:p>
        </w:tc>
        <w:tc>
          <w:tcPr>
            <w:tcW w:type="dxa" w:w="5040"/>
          </w:tcPr>
          <w:p>
            <w:r>
              <w:rPr>
                <w:rFonts w:ascii="Times New Roman" w:hAnsi="Times New Roman"/>
                <w:sz w:val="20"/>
              </w:rPr>
              <w:t>0.6225</w:t>
            </w:r>
          </w:p>
        </w:tc>
      </w:tr>
      <w:tr>
        <w:tc>
          <w:tcPr>
            <w:tcW w:type="dxa" w:w="5040"/>
          </w:tcPr>
          <w:p>
            <w:r>
              <w:rPr>
                <w:rFonts w:ascii="Times New Roman" w:hAnsi="Times New Roman"/>
                <w:sz w:val="20"/>
              </w:rPr>
              <w:t>relevancia_contenidos</w:t>
            </w:r>
          </w:p>
        </w:tc>
        <w:tc>
          <w:tcPr>
            <w:tcW w:type="dxa" w:w="5040"/>
          </w:tcPr>
          <w:p>
            <w:r>
              <w:rPr>
                <w:rFonts w:ascii="Times New Roman" w:hAnsi="Times New Roman"/>
                <w:sz w:val="20"/>
              </w:rPr>
              <w:t>0.7044</w:t>
            </w:r>
          </w:p>
        </w:tc>
      </w:tr>
      <w:tr>
        <w:tc>
          <w:tcPr>
            <w:tcW w:type="dxa" w:w="5040"/>
          </w:tcPr>
          <w:p>
            <w:r>
              <w:rPr>
                <w:rFonts w:ascii="Times New Roman" w:hAnsi="Times New Roman"/>
                <w:sz w:val="20"/>
              </w:rPr>
              <w:t>evaluacion_aprendizaje</w:t>
            </w:r>
          </w:p>
        </w:tc>
        <w:tc>
          <w:tcPr>
            <w:tcW w:type="dxa" w:w="5040"/>
          </w:tcPr>
          <w:p>
            <w:r>
              <w:rPr>
                <w:rFonts w:ascii="Times New Roman" w:hAnsi="Times New Roman"/>
                <w:sz w:val="20"/>
              </w:rPr>
              <w:t>0.5420</w:t>
            </w:r>
          </w:p>
        </w:tc>
      </w:tr>
      <w:tr>
        <w:tc>
          <w:tcPr>
            <w:tcW w:type="dxa" w:w="5040"/>
          </w:tcPr>
          <w:p>
            <w:r>
              <w:rPr>
                <w:rFonts w:ascii="Times New Roman" w:hAnsi="Times New Roman"/>
                <w:sz w:val="20"/>
              </w:rPr>
              <w:t>infraestructura_aulas</w:t>
            </w:r>
          </w:p>
        </w:tc>
        <w:tc>
          <w:tcPr>
            <w:tcW w:type="dxa" w:w="5040"/>
          </w:tcPr>
          <w:p>
            <w:r>
              <w:rPr>
                <w:rFonts w:ascii="Times New Roman" w:hAnsi="Times New Roman"/>
                <w:sz w:val="20"/>
              </w:rPr>
              <w:t>0.6712</w:t>
            </w:r>
          </w:p>
        </w:tc>
      </w:tr>
      <w:tr>
        <w:tc>
          <w:tcPr>
            <w:tcW w:type="dxa" w:w="5040"/>
          </w:tcPr>
          <w:p>
            <w:r>
              <w:rPr>
                <w:rFonts w:ascii="Times New Roman" w:hAnsi="Times New Roman"/>
                <w:sz w:val="20"/>
              </w:rPr>
              <w:t>satisfaccion_general</w:t>
            </w:r>
          </w:p>
        </w:tc>
        <w:tc>
          <w:tcPr>
            <w:tcW w:type="dxa" w:w="5040"/>
          </w:tcPr>
          <w:p>
            <w:r>
              <w:rPr>
                <w:rFonts w:ascii="Times New Roman" w:hAnsi="Times New Roman"/>
                <w:sz w:val="20"/>
              </w:rPr>
              <w:t>0.5898</w:t>
            </w:r>
          </w:p>
        </w:tc>
      </w:tr>
    </w:tbl>
    <w:p/>
    <w:p>
      <w:pPr>
        <w:pStyle w:val="Heading2"/>
        <w:keepNext/>
      </w:pPr>
      <w:r>
        <w:t>6.2 Prueba de esfericidad de Bartlett</w:t>
      </w:r>
    </w:p>
    <w:p>
      <w:r>
        <w:t>Chi-cuadrado: 384.3836</w:t>
      </w:r>
    </w:p>
    <w:p>
      <w:r>
        <w:t>p-value: 0.000000</w:t>
      </w:r>
    </w:p>
    <w:p>
      <w:pPr>
        <w:pStyle w:val="Heading2"/>
        <w:keepNext/>
      </w:pPr>
      <w:r>
        <w:t>6.3 Análisis factorial exploratorio</w:t>
      </w:r>
    </w:p>
    <w:p>
      <w:r>
        <w:t>Número de factores: 2</w:t>
      </w:r>
    </w:p>
    <w:p>
      <w:r>
        <w:t>Rotación: varimax</w:t>
      </w:r>
    </w:p>
    <w:p>
      <w:pPr>
        <w:pStyle w:val="Heading3"/>
        <w:keepNext/>
      </w:pPr>
      <w:r>
        <w:t>6.3.1 Varianza explicada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20"/>
              </w:rPr>
              <w:t>Factor</w:t>
            </w:r>
          </w:p>
        </w:tc>
        <w:tc>
          <w:tcPr>
            <w:tcW w:type="dxa" w:w="2520"/>
          </w:tcPr>
          <w:p>
            <w:r>
              <w:rPr>
                <w:rFonts w:ascii="Times New Roman" w:hAnsi="Times New Roman"/>
                <w:b/>
                <w:sz w:val="20"/>
              </w:rPr>
              <w:t>SS Loadings</w:t>
            </w:r>
          </w:p>
        </w:tc>
        <w:tc>
          <w:tcPr>
            <w:tcW w:type="dxa" w:w="2520"/>
          </w:tcPr>
          <w:p>
            <w:r>
              <w:rPr>
                <w:rFonts w:ascii="Times New Roman" w:hAnsi="Times New Roman"/>
                <w:b/>
                <w:sz w:val="20"/>
              </w:rPr>
              <w:t>Proportion Var</w:t>
            </w:r>
          </w:p>
        </w:tc>
        <w:tc>
          <w:tcPr>
            <w:tcW w:type="dxa" w:w="2520"/>
          </w:tcPr>
          <w:p>
            <w:r>
              <w:rPr>
                <w:rFonts w:ascii="Times New Roman" w:hAnsi="Times New Roman"/>
                <w:b/>
                <w:sz w:val="20"/>
              </w:rPr>
              <w:t>Cumulative Var</w:t>
            </w:r>
          </w:p>
        </w:tc>
      </w:tr>
      <w:tr>
        <w:tc>
          <w:tcPr>
            <w:tcW w:type="dxa" w:w="2520"/>
          </w:tcPr>
          <w:p>
            <w:r>
              <w:rPr>
                <w:rFonts w:ascii="Times New Roman" w:hAnsi="Times New Roman"/>
                <w:sz w:val="20"/>
              </w:rPr>
              <w:t>Factor_1</w:t>
            </w:r>
          </w:p>
        </w:tc>
        <w:tc>
          <w:tcPr>
            <w:tcW w:type="dxa" w:w="2520"/>
          </w:tcPr>
          <w:p>
            <w:r>
              <w:rPr>
                <w:rFonts w:ascii="Times New Roman" w:hAnsi="Times New Roman"/>
                <w:sz w:val="20"/>
              </w:rPr>
              <w:t>1.7521</w:t>
            </w:r>
          </w:p>
        </w:tc>
        <w:tc>
          <w:tcPr>
            <w:tcW w:type="dxa" w:w="2520"/>
          </w:tcPr>
          <w:p>
            <w:r>
              <w:rPr>
                <w:rFonts w:ascii="Times New Roman" w:hAnsi="Times New Roman"/>
                <w:sz w:val="20"/>
              </w:rPr>
              <w:t>0.2190</w:t>
            </w:r>
          </w:p>
        </w:tc>
        <w:tc>
          <w:tcPr>
            <w:tcW w:type="dxa" w:w="2520"/>
          </w:tcPr>
          <w:p>
            <w:r>
              <w:rPr>
                <w:rFonts w:ascii="Times New Roman" w:hAnsi="Times New Roman"/>
                <w:sz w:val="20"/>
              </w:rPr>
              <w:t>0.2190</w:t>
            </w:r>
          </w:p>
        </w:tc>
      </w:tr>
      <w:tr>
        <w:tc>
          <w:tcPr>
            <w:tcW w:type="dxa" w:w="2520"/>
          </w:tcPr>
          <w:p>
            <w:r>
              <w:rPr>
                <w:rFonts w:ascii="Times New Roman" w:hAnsi="Times New Roman"/>
                <w:sz w:val="20"/>
              </w:rPr>
              <w:t>Factor_2</w:t>
            </w:r>
          </w:p>
        </w:tc>
        <w:tc>
          <w:tcPr>
            <w:tcW w:type="dxa" w:w="2520"/>
          </w:tcPr>
          <w:p>
            <w:r>
              <w:rPr>
                <w:rFonts w:ascii="Times New Roman" w:hAnsi="Times New Roman"/>
                <w:sz w:val="20"/>
              </w:rPr>
              <w:t>1.0023</w:t>
            </w:r>
          </w:p>
        </w:tc>
        <w:tc>
          <w:tcPr>
            <w:tcW w:type="dxa" w:w="2520"/>
          </w:tcPr>
          <w:p>
            <w:r>
              <w:rPr>
                <w:rFonts w:ascii="Times New Roman" w:hAnsi="Times New Roman"/>
                <w:sz w:val="20"/>
              </w:rPr>
              <w:t>0.1253</w:t>
            </w:r>
          </w:p>
        </w:tc>
        <w:tc>
          <w:tcPr>
            <w:tcW w:type="dxa" w:w="2520"/>
          </w:tcPr>
          <w:p>
            <w:r>
              <w:rPr>
                <w:rFonts w:ascii="Times New Roman" w:hAnsi="Times New Roman"/>
                <w:sz w:val="20"/>
              </w:rPr>
              <w:t>0.3443</w:t>
            </w:r>
          </w:p>
        </w:tc>
      </w:tr>
    </w:tbl>
    <w:p/>
    <w:p>
      <w:pPr>
        <w:pStyle w:val="Heading3"/>
        <w:keepNext/>
      </w:pPr>
      <w:r>
        <w:t>6.3.2 Comunalidades</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Times New Roman" w:hAnsi="Times New Roman"/>
                <w:b/>
                <w:sz w:val="20"/>
              </w:rPr>
              <w:t>Ítem</w:t>
            </w:r>
          </w:p>
        </w:tc>
        <w:tc>
          <w:tcPr>
            <w:tcW w:type="dxa" w:w="5040"/>
          </w:tcPr>
          <w:p>
            <w:r>
              <w:rPr>
                <w:rFonts w:ascii="Times New Roman" w:hAnsi="Times New Roman"/>
                <w:b/>
                <w:sz w:val="20"/>
              </w:rPr>
              <w:t>Comunalidad</w:t>
            </w:r>
          </w:p>
        </w:tc>
      </w:tr>
      <w:tr>
        <w:tc>
          <w:tcPr>
            <w:tcW w:type="dxa" w:w="5040"/>
          </w:tcPr>
          <w:p>
            <w:r>
              <w:rPr>
                <w:rFonts w:ascii="Times New Roman" w:hAnsi="Times New Roman"/>
                <w:sz w:val="20"/>
              </w:rPr>
              <w:t>claridad_clases</w:t>
            </w:r>
          </w:p>
        </w:tc>
        <w:tc>
          <w:tcPr>
            <w:tcW w:type="dxa" w:w="5040"/>
          </w:tcPr>
          <w:p>
            <w:r>
              <w:rPr>
                <w:rFonts w:ascii="Times New Roman" w:hAnsi="Times New Roman"/>
                <w:sz w:val="20"/>
              </w:rPr>
              <w:t>0.2634</w:t>
            </w:r>
          </w:p>
        </w:tc>
      </w:tr>
      <w:tr>
        <w:tc>
          <w:tcPr>
            <w:tcW w:type="dxa" w:w="5040"/>
          </w:tcPr>
          <w:p>
            <w:r>
              <w:rPr>
                <w:rFonts w:ascii="Times New Roman" w:hAnsi="Times New Roman"/>
                <w:sz w:val="20"/>
              </w:rPr>
              <w:t>organizacion_programa</w:t>
            </w:r>
          </w:p>
        </w:tc>
        <w:tc>
          <w:tcPr>
            <w:tcW w:type="dxa" w:w="5040"/>
          </w:tcPr>
          <w:p>
            <w:r>
              <w:rPr>
                <w:rFonts w:ascii="Times New Roman" w:hAnsi="Times New Roman"/>
                <w:sz w:val="20"/>
              </w:rPr>
              <w:t>0.2343</w:t>
            </w:r>
          </w:p>
        </w:tc>
      </w:tr>
      <w:tr>
        <w:tc>
          <w:tcPr>
            <w:tcW w:type="dxa" w:w="5040"/>
          </w:tcPr>
          <w:p>
            <w:r>
              <w:rPr>
                <w:rFonts w:ascii="Times New Roman" w:hAnsi="Times New Roman"/>
                <w:sz w:val="20"/>
              </w:rPr>
              <w:t>disponibilidad_docentes</w:t>
            </w:r>
          </w:p>
        </w:tc>
        <w:tc>
          <w:tcPr>
            <w:tcW w:type="dxa" w:w="5040"/>
          </w:tcPr>
          <w:p>
            <w:r>
              <w:rPr>
                <w:rFonts w:ascii="Times New Roman" w:hAnsi="Times New Roman"/>
                <w:sz w:val="20"/>
              </w:rPr>
              <w:t>0.1986</w:t>
            </w:r>
          </w:p>
        </w:tc>
      </w:tr>
      <w:tr>
        <w:tc>
          <w:tcPr>
            <w:tcW w:type="dxa" w:w="5040"/>
          </w:tcPr>
          <w:p>
            <w:r>
              <w:rPr>
                <w:rFonts w:ascii="Times New Roman" w:hAnsi="Times New Roman"/>
                <w:sz w:val="20"/>
              </w:rPr>
              <w:t>uso_tecnologia</w:t>
            </w:r>
          </w:p>
        </w:tc>
        <w:tc>
          <w:tcPr>
            <w:tcW w:type="dxa" w:w="5040"/>
          </w:tcPr>
          <w:p>
            <w:r>
              <w:rPr>
                <w:rFonts w:ascii="Times New Roman" w:hAnsi="Times New Roman"/>
                <w:sz w:val="20"/>
              </w:rPr>
              <w:t>0.1332</w:t>
            </w:r>
          </w:p>
        </w:tc>
      </w:tr>
      <w:tr>
        <w:tc>
          <w:tcPr>
            <w:tcW w:type="dxa" w:w="5040"/>
          </w:tcPr>
          <w:p>
            <w:r>
              <w:rPr>
                <w:rFonts w:ascii="Times New Roman" w:hAnsi="Times New Roman"/>
                <w:sz w:val="20"/>
              </w:rPr>
              <w:t>relevancia_contenidos</w:t>
            </w:r>
          </w:p>
        </w:tc>
        <w:tc>
          <w:tcPr>
            <w:tcW w:type="dxa" w:w="5040"/>
          </w:tcPr>
          <w:p>
            <w:r>
              <w:rPr>
                <w:rFonts w:ascii="Times New Roman" w:hAnsi="Times New Roman"/>
                <w:sz w:val="20"/>
              </w:rPr>
              <w:t>0.2421</w:t>
            </w:r>
          </w:p>
        </w:tc>
      </w:tr>
      <w:tr>
        <w:tc>
          <w:tcPr>
            <w:tcW w:type="dxa" w:w="5040"/>
          </w:tcPr>
          <w:p>
            <w:r>
              <w:rPr>
                <w:rFonts w:ascii="Times New Roman" w:hAnsi="Times New Roman"/>
                <w:sz w:val="20"/>
              </w:rPr>
              <w:t>evaluacion_aprendizaje</w:t>
            </w:r>
          </w:p>
        </w:tc>
        <w:tc>
          <w:tcPr>
            <w:tcW w:type="dxa" w:w="5040"/>
          </w:tcPr>
          <w:p>
            <w:r>
              <w:rPr>
                <w:rFonts w:ascii="Times New Roman" w:hAnsi="Times New Roman"/>
                <w:sz w:val="20"/>
              </w:rPr>
              <w:t>0.3070</w:t>
            </w:r>
          </w:p>
        </w:tc>
      </w:tr>
      <w:tr>
        <w:tc>
          <w:tcPr>
            <w:tcW w:type="dxa" w:w="5040"/>
          </w:tcPr>
          <w:p>
            <w:r>
              <w:rPr>
                <w:rFonts w:ascii="Times New Roman" w:hAnsi="Times New Roman"/>
                <w:sz w:val="20"/>
              </w:rPr>
              <w:t>infraestructura_aulas</w:t>
            </w:r>
          </w:p>
        </w:tc>
        <w:tc>
          <w:tcPr>
            <w:tcW w:type="dxa" w:w="5040"/>
          </w:tcPr>
          <w:p>
            <w:r>
              <w:rPr>
                <w:rFonts w:ascii="Times New Roman" w:hAnsi="Times New Roman"/>
                <w:sz w:val="20"/>
              </w:rPr>
              <w:t>0.3231</w:t>
            </w:r>
          </w:p>
        </w:tc>
      </w:tr>
      <w:tr>
        <w:tc>
          <w:tcPr>
            <w:tcW w:type="dxa" w:w="5040"/>
          </w:tcPr>
          <w:p>
            <w:r>
              <w:rPr>
                <w:rFonts w:ascii="Times New Roman" w:hAnsi="Times New Roman"/>
                <w:sz w:val="20"/>
              </w:rPr>
              <w:t>satisfaccion_general</w:t>
            </w:r>
          </w:p>
        </w:tc>
        <w:tc>
          <w:tcPr>
            <w:tcW w:type="dxa" w:w="5040"/>
          </w:tcPr>
          <w:p>
            <w:r>
              <w:rPr>
                <w:rFonts w:ascii="Times New Roman" w:hAnsi="Times New Roman"/>
                <w:sz w:val="20"/>
              </w:rPr>
              <w:t>1.0528</w:t>
            </w:r>
          </w:p>
        </w:tc>
      </w:tr>
    </w:tbl>
    <w:p/>
    <w:p>
      <w:pPr>
        <w:pStyle w:val="Heading3"/>
        <w:keepNext/>
      </w:pPr>
      <w:r>
        <w:t>6.3.3 Cargas factoriales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Times New Roman" w:hAnsi="Times New Roman"/>
                <w:b/>
                <w:sz w:val="20"/>
              </w:rPr>
              <w:t>Ítem</w:t>
            </w:r>
          </w:p>
        </w:tc>
        <w:tc>
          <w:tcPr>
            <w:tcW w:type="dxa" w:w="1120"/>
          </w:tcPr>
          <w:p>
            <w:r>
              <w:rPr>
                <w:rFonts w:ascii="Times New Roman" w:hAnsi="Times New Roman"/>
                <w:b/>
                <w:sz w:val="20"/>
              </w:rPr>
              <w:t>claridad_clases</w:t>
            </w:r>
          </w:p>
        </w:tc>
        <w:tc>
          <w:tcPr>
            <w:tcW w:type="dxa" w:w="1120"/>
          </w:tcPr>
          <w:p>
            <w:r>
              <w:rPr>
                <w:rFonts w:ascii="Times New Roman" w:hAnsi="Times New Roman"/>
                <w:b/>
                <w:sz w:val="20"/>
              </w:rPr>
              <w:t>organizacion_programa</w:t>
            </w:r>
          </w:p>
        </w:tc>
        <w:tc>
          <w:tcPr>
            <w:tcW w:type="dxa" w:w="1120"/>
          </w:tcPr>
          <w:p>
            <w:r>
              <w:rPr>
                <w:rFonts w:ascii="Times New Roman" w:hAnsi="Times New Roman"/>
                <w:b/>
                <w:sz w:val="20"/>
              </w:rPr>
              <w:t>disponibilidad_docentes</w:t>
            </w:r>
          </w:p>
        </w:tc>
        <w:tc>
          <w:tcPr>
            <w:tcW w:type="dxa" w:w="1120"/>
          </w:tcPr>
          <w:p>
            <w:r>
              <w:rPr>
                <w:rFonts w:ascii="Times New Roman" w:hAnsi="Times New Roman"/>
                <w:b/>
                <w:sz w:val="20"/>
              </w:rPr>
              <w:t>uso_tecnologia</w:t>
            </w:r>
          </w:p>
        </w:tc>
        <w:tc>
          <w:tcPr>
            <w:tcW w:type="dxa" w:w="1120"/>
          </w:tcPr>
          <w:p>
            <w:r>
              <w:rPr>
                <w:rFonts w:ascii="Times New Roman" w:hAnsi="Times New Roman"/>
                <w:b/>
                <w:sz w:val="20"/>
              </w:rPr>
              <w:t>relevancia_contenidos</w:t>
            </w:r>
          </w:p>
        </w:tc>
        <w:tc>
          <w:tcPr>
            <w:tcW w:type="dxa" w:w="1120"/>
          </w:tcPr>
          <w:p>
            <w:r>
              <w:rPr>
                <w:rFonts w:ascii="Times New Roman" w:hAnsi="Times New Roman"/>
                <w:b/>
                <w:sz w:val="20"/>
              </w:rPr>
              <w:t>evaluacion_aprendizaje</w:t>
            </w:r>
          </w:p>
        </w:tc>
        <w:tc>
          <w:tcPr>
            <w:tcW w:type="dxa" w:w="1120"/>
          </w:tcPr>
          <w:p>
            <w:r>
              <w:rPr>
                <w:rFonts w:ascii="Times New Roman" w:hAnsi="Times New Roman"/>
                <w:b/>
                <w:sz w:val="20"/>
              </w:rPr>
              <w:t>infraestructura_aulas</w:t>
            </w:r>
          </w:p>
        </w:tc>
        <w:tc>
          <w:tcPr>
            <w:tcW w:type="dxa" w:w="1120"/>
          </w:tcPr>
          <w:p>
            <w:r>
              <w:rPr>
                <w:rFonts w:ascii="Times New Roman" w:hAnsi="Times New Roman"/>
                <w:b/>
                <w:sz w:val="20"/>
              </w:rPr>
              <w:t>satisfaccion_general</w:t>
            </w:r>
          </w:p>
        </w:tc>
      </w:tr>
      <w:tr>
        <w:tc>
          <w:tcPr>
            <w:tcW w:type="dxa" w:w="1120"/>
          </w:tcPr>
          <w:p>
            <w:r>
              <w:rPr>
                <w:rFonts w:ascii="Times New Roman" w:hAnsi="Times New Roman"/>
                <w:sz w:val="20"/>
              </w:rPr>
              <w:t>Factor_1</w:t>
            </w:r>
          </w:p>
        </w:tc>
        <w:tc>
          <w:tcPr>
            <w:tcW w:type="dxa" w:w="1120"/>
          </w:tcPr>
          <w:p>
            <w:r>
              <w:rPr>
                <w:rFonts w:ascii="Times New Roman" w:hAnsi="Times New Roman"/>
                <w:sz w:val="20"/>
              </w:rPr>
              <w:t>0.4945</w:t>
            </w:r>
          </w:p>
        </w:tc>
        <w:tc>
          <w:tcPr>
            <w:tcW w:type="dxa" w:w="1120"/>
          </w:tcPr>
          <w:p>
            <w:r>
              <w:rPr>
                <w:rFonts w:ascii="Times New Roman" w:hAnsi="Times New Roman"/>
                <w:sz w:val="20"/>
              </w:rPr>
              <w:t>0.4326</w:t>
            </w:r>
          </w:p>
        </w:tc>
        <w:tc>
          <w:tcPr>
            <w:tcW w:type="dxa" w:w="1120"/>
          </w:tcPr>
          <w:p>
            <w:r>
              <w:rPr>
                <w:rFonts w:ascii="Times New Roman" w:hAnsi="Times New Roman"/>
                <w:sz w:val="20"/>
              </w:rPr>
              <w:t>0.3290</w:t>
            </w:r>
          </w:p>
        </w:tc>
        <w:tc>
          <w:tcPr>
            <w:tcW w:type="dxa" w:w="1120"/>
          </w:tcPr>
          <w:p>
            <w:r>
              <w:rPr>
                <w:rFonts w:ascii="Times New Roman" w:hAnsi="Times New Roman"/>
                <w:sz w:val="20"/>
              </w:rPr>
              <w:t>0.2640</w:t>
            </w:r>
          </w:p>
        </w:tc>
        <w:tc>
          <w:tcPr>
            <w:tcW w:type="dxa" w:w="1120"/>
          </w:tcPr>
          <w:p>
            <w:r>
              <w:rPr>
                <w:rFonts w:ascii="Times New Roman" w:hAnsi="Times New Roman"/>
                <w:sz w:val="20"/>
              </w:rPr>
              <w:t>0.3660</w:t>
            </w:r>
          </w:p>
        </w:tc>
        <w:tc>
          <w:tcPr>
            <w:tcW w:type="dxa" w:w="1120"/>
          </w:tcPr>
          <w:p>
            <w:r>
              <w:rPr>
                <w:rFonts w:ascii="Times New Roman" w:hAnsi="Times New Roman"/>
                <w:sz w:val="20"/>
              </w:rPr>
              <w:t>0.0499</w:t>
            </w:r>
          </w:p>
        </w:tc>
        <w:tc>
          <w:tcPr>
            <w:tcW w:type="dxa" w:w="1120"/>
          </w:tcPr>
          <w:p>
            <w:r>
              <w:rPr>
                <w:rFonts w:ascii="Times New Roman" w:hAnsi="Times New Roman"/>
                <w:sz w:val="20"/>
              </w:rPr>
              <w:t>0.5673</w:t>
            </w:r>
          </w:p>
        </w:tc>
        <w:tc>
          <w:tcPr>
            <w:tcW w:type="dxa" w:w="1120"/>
          </w:tcPr>
          <w:p>
            <w:r>
              <w:rPr>
                <w:rFonts w:ascii="Times New Roman" w:hAnsi="Times New Roman"/>
                <w:sz w:val="20"/>
              </w:rPr>
              <w:t>0.8272</w:t>
            </w:r>
          </w:p>
        </w:tc>
      </w:tr>
      <w:tr>
        <w:tc>
          <w:tcPr>
            <w:tcW w:type="dxa" w:w="1120"/>
          </w:tcPr>
          <w:p>
            <w:r>
              <w:rPr>
                <w:rFonts w:ascii="Times New Roman" w:hAnsi="Times New Roman"/>
                <w:sz w:val="20"/>
              </w:rPr>
              <w:t>Factor_2</w:t>
            </w:r>
          </w:p>
        </w:tc>
        <w:tc>
          <w:tcPr>
            <w:tcW w:type="dxa" w:w="1120"/>
          </w:tcPr>
          <w:p>
            <w:r>
              <w:rPr>
                <w:rFonts w:ascii="Times New Roman" w:hAnsi="Times New Roman"/>
                <w:sz w:val="20"/>
              </w:rPr>
              <w:t>0.1371</w:t>
            </w:r>
          </w:p>
        </w:tc>
        <w:tc>
          <w:tcPr>
            <w:tcW w:type="dxa" w:w="1120"/>
          </w:tcPr>
          <w:p>
            <w:r>
              <w:rPr>
                <w:rFonts w:ascii="Times New Roman" w:hAnsi="Times New Roman"/>
                <w:sz w:val="20"/>
              </w:rPr>
              <w:t>0.2172</w:t>
            </w:r>
          </w:p>
        </w:tc>
        <w:tc>
          <w:tcPr>
            <w:tcW w:type="dxa" w:w="1120"/>
          </w:tcPr>
          <w:p>
            <w:r>
              <w:rPr>
                <w:rFonts w:ascii="Times New Roman" w:hAnsi="Times New Roman"/>
                <w:sz w:val="20"/>
              </w:rPr>
              <w:t>0.3007</w:t>
            </w:r>
          </w:p>
        </w:tc>
        <w:tc>
          <w:tcPr>
            <w:tcW w:type="dxa" w:w="1120"/>
          </w:tcPr>
          <w:p>
            <w:r>
              <w:rPr>
                <w:rFonts w:ascii="Times New Roman" w:hAnsi="Times New Roman"/>
                <w:sz w:val="20"/>
              </w:rPr>
              <w:t>0.2519</w:t>
            </w:r>
          </w:p>
        </w:tc>
        <w:tc>
          <w:tcPr>
            <w:tcW w:type="dxa" w:w="1120"/>
          </w:tcPr>
          <w:p>
            <w:r>
              <w:rPr>
                <w:rFonts w:ascii="Times New Roman" w:hAnsi="Times New Roman"/>
                <w:sz w:val="20"/>
              </w:rPr>
              <w:t>0.3288</w:t>
            </w:r>
          </w:p>
        </w:tc>
        <w:tc>
          <w:tcPr>
            <w:tcW w:type="dxa" w:w="1120"/>
          </w:tcPr>
          <w:p>
            <w:r>
              <w:rPr>
                <w:rFonts w:ascii="Times New Roman" w:hAnsi="Times New Roman"/>
                <w:sz w:val="20"/>
              </w:rPr>
              <w:t>0.5518</w:t>
            </w:r>
          </w:p>
        </w:tc>
        <w:tc>
          <w:tcPr>
            <w:tcW w:type="dxa" w:w="1120"/>
          </w:tcPr>
          <w:p>
            <w:r>
              <w:rPr>
                <w:rFonts w:ascii="Times New Roman" w:hAnsi="Times New Roman"/>
                <w:sz w:val="20"/>
              </w:rPr>
              <w:t>0.0352</w:t>
            </w:r>
          </w:p>
        </w:tc>
        <w:tc>
          <w:tcPr>
            <w:tcW w:type="dxa" w:w="1120"/>
          </w:tcPr>
          <w:p>
            <w:r>
              <w:rPr>
                <w:rFonts w:ascii="Times New Roman" w:hAnsi="Times New Roman"/>
                <w:sz w:val="20"/>
              </w:rPr>
              <w:t>0.6072</w:t>
            </w:r>
          </w:p>
        </w:tc>
      </w:tr>
    </w:tbl>
    <w:p/>
    <w:p>
      <w:pPr>
        <w:pStyle w:val="Heading1"/>
        <w:keepNext/>
      </w:pPr>
      <w:r>
        <w:t>8. Resultados automáticos</w:t>
      </w:r>
    </w:p>
    <w:p>
      <w:r>
        <w:t>Resultados del análisis psicométrico</w:t>
        <w:br/>
        <w:br/>
        <w:t>El instrumento presenta una consistencia interna cuestionable (α = 0.699), calculada sobre 8 ítems y 200 casos completos. Esto sugiere que los ítems podrían no estar midiendo el mismo constructo de forma homogénea, por lo que se recomienda revisar la estructura del instrumento.</w:t>
        <w:br/>
        <w:br/>
        <w:t>Consistencia interna por dimensiones:</w:t>
        <w:br/>
        <w:t>- General: α = 0.6987 (8 ítems)</w:t>
        <w:br/>
        <w:br/>
        <w:t>La media general de los ítems fue 5.033 en una escala de 1 a 7, lo que indica una tendencia predominante hacia acuerdo alto.</w:t>
        <w:br/>
        <w:br/>
        <w:t>En conjunto, los resultados evidencian que el instrumento presenta propiedades psicométricas adecuadas para su uso en estudios académicos.</w:t>
      </w:r>
    </w:p>
    <w:p>
      <w:pPr>
        <w:pStyle w:val="Heading1"/>
        <w:keepNext/>
      </w:pPr>
      <w:r>
        <w:t>9. Interpretación psicométrica</w:t>
      </w:r>
    </w:p>
    <w:p>
      <w:r>
        <w:t>El índice KMO global fue de 0.645, lo que indica una adecuación muestral aceptable. La prueba de esfericidad de Bartlett fue significativa, lo que indica que la matriz de correlaciones es adecuada para análisis factorial. El análisis factorial exploratorio sugirió una estructura de 2 factor(es). La varianza acumulada explicada por la solución factorial fue de 34.43%. En conjunto, estos resultados aportan evidencia sobre la estructura interna del instrumento y respaldan su utilidad para fines de investigación.</w:t>
      </w:r>
    </w:p>
    <w:p>
      <w:pPr>
        <w:pStyle w:val="Heading1"/>
        <w:keepNext/>
      </w:pPr>
      <w:r>
        <w:t>10. Resumen exploratorio visual</w:t>
      </w:r>
    </w:p>
    <w:p>
      <w:r>
        <w:t>A continuación se resume la distribución de gráficos generados automáticamente por SADI según su propósito analítico.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20"/>
              </w:rPr>
              <w:t>Tipo de gráfico</w:t>
            </w:r>
          </w:p>
        </w:tc>
        <w:tc>
          <w:tcPr>
            <w:tcW w:type="dxa" w:w="3360"/>
          </w:tcPr>
          <w:p>
            <w:r>
              <w:rPr>
                <w:rFonts w:ascii="Times New Roman" w:hAnsi="Times New Roman"/>
                <w:b/>
                <w:sz w:val="20"/>
              </w:rPr>
              <w:t>Cantidad</w:t>
            </w:r>
          </w:p>
        </w:tc>
        <w:tc>
          <w:tcPr>
            <w:tcW w:type="dxa" w:w="3360"/>
          </w:tcPr>
          <w:p>
            <w:r>
              <w:rPr>
                <w:rFonts w:ascii="Times New Roman" w:hAnsi="Times New Roman"/>
                <w:b/>
                <w:sz w:val="20"/>
              </w:rPr>
              <w:t>Interpretación</w:t>
            </w:r>
          </w:p>
        </w:tc>
      </w:tr>
      <w:tr>
        <w:tc>
          <w:tcPr>
            <w:tcW w:type="dxa" w:w="3360"/>
          </w:tcPr>
          <w:p>
            <w:r>
              <w:rPr>
                <w:rFonts w:ascii="Times New Roman" w:hAnsi="Times New Roman"/>
                <w:sz w:val="20"/>
              </w:rPr>
              <w:t>Relacional</w:t>
            </w:r>
          </w:p>
        </w:tc>
        <w:tc>
          <w:tcPr>
            <w:tcW w:type="dxa" w:w="3360"/>
          </w:tcPr>
          <w:p>
            <w:r>
              <w:rPr>
                <w:rFonts w:ascii="Times New Roman" w:hAnsi="Times New Roman"/>
                <w:sz w:val="20"/>
              </w:rPr>
              <w:t>1</w:t>
            </w:r>
          </w:p>
        </w:tc>
        <w:tc>
          <w:tcPr>
            <w:tcW w:type="dxa" w:w="3360"/>
          </w:tcPr>
          <w:p>
            <w:r>
              <w:rPr>
                <w:rFonts w:ascii="Times New Roman" w:hAnsi="Times New Roman"/>
                <w:sz w:val="20"/>
              </w:rPr>
              <w:t>Explora asociaciones o relaciones entre variables.</w:t>
            </w:r>
          </w:p>
        </w:tc>
      </w:tr>
      <w:tr>
        <w:tc>
          <w:tcPr>
            <w:tcW w:type="dxa" w:w="3360"/>
          </w:tcPr>
          <w:p>
            <w:r>
              <w:rPr>
                <w:rFonts w:ascii="Times New Roman" w:hAnsi="Times New Roman"/>
                <w:sz w:val="20"/>
              </w:rPr>
              <w:t>Psicométrico</w:t>
            </w:r>
          </w:p>
        </w:tc>
        <w:tc>
          <w:tcPr>
            <w:tcW w:type="dxa" w:w="3360"/>
          </w:tcPr>
          <w:p>
            <w:r>
              <w:rPr>
                <w:rFonts w:ascii="Times New Roman" w:hAnsi="Times New Roman"/>
                <w:sz w:val="20"/>
              </w:rPr>
              <w:t>9</w:t>
            </w:r>
          </w:p>
        </w:tc>
        <w:tc>
          <w:tcPr>
            <w:tcW w:type="dxa" w:w="3360"/>
          </w:tcPr>
          <w:p>
            <w:r>
              <w:rPr>
                <w:rFonts w:ascii="Times New Roman" w:hAnsi="Times New Roman"/>
                <w:sz w:val="20"/>
              </w:rPr>
              <w:t>Evalúa consistencia y comportamiento del instrumento.</w:t>
            </w:r>
          </w:p>
        </w:tc>
      </w:tr>
      <w:tr>
        <w:tc>
          <w:tcPr>
            <w:tcW w:type="dxa" w:w="3360"/>
          </w:tcPr>
          <w:p>
            <w:r>
              <w:rPr>
                <w:rFonts w:ascii="Times New Roman" w:hAnsi="Times New Roman"/>
                <w:sz w:val="20"/>
              </w:rPr>
              <w:t>Analítico</w:t>
            </w:r>
          </w:p>
        </w:tc>
        <w:tc>
          <w:tcPr>
            <w:tcW w:type="dxa" w:w="3360"/>
          </w:tcPr>
          <w:p>
            <w:r>
              <w:rPr>
                <w:rFonts w:ascii="Times New Roman" w:hAnsi="Times New Roman"/>
                <w:sz w:val="20"/>
              </w:rPr>
              <w:t>3</w:t>
            </w:r>
          </w:p>
        </w:tc>
        <w:tc>
          <w:tcPr>
            <w:tcW w:type="dxa" w:w="3360"/>
          </w:tcPr>
          <w:p>
            <w:r>
              <w:rPr>
                <w:rFonts w:ascii="Times New Roman" w:hAnsi="Times New Roman"/>
                <w:sz w:val="20"/>
              </w:rPr>
              <w:t>Apoya la interpretación general del instrumento.</w:t>
            </w:r>
          </w:p>
        </w:tc>
      </w:tr>
    </w:tbl>
    <w:p/>
    <w:p>
      <w:pPr>
        <w:pStyle w:val="Heading1"/>
        <w:keepNext/>
      </w:pPr>
      <w:r>
        <w:t>11. Gráficos</w:t>
      </w:r>
    </w:p>
    <w:p>
      <w:pPr>
        <w:keepNext/>
      </w:pPr>
      <w:r>
        <w:rPr>
          <w:b/>
          <w:sz w:val="24"/>
        </w:rPr>
        <w:t>Gráfico 1. Mapa de correlación</w:t>
      </w:r>
    </w:p>
    <w:p>
      <w:pPr>
        <w:keepNext/>
      </w:pPr>
      <w:r>
        <w:rPr>
          <w:i/>
        </w:rPr>
        <w:t>Tipo: Relacional</w:t>
      </w:r>
    </w:p>
    <w:p>
      <w:pPr>
        <w:keepNext/>
      </w:pPr>
      <w:r>
        <w:t>Muestra la intensidad y dirección de relación entre variables numéricas.</w:t>
      </w:r>
    </w:p>
    <w:p>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ds6_corr_heatmap.png"/>
                    <pic:cNvPicPr/>
                  </pic:nvPicPr>
                  <pic:blipFill>
                    <a:blip r:embed="rId9"/>
                    <a:stretch>
                      <a:fillRect/>
                    </a:stretch>
                  </pic:blipFill>
                  <pic:spPr>
                    <a:xfrm>
                      <a:off x="0" y="0"/>
                      <a:ext cx="5486400" cy="4840941"/>
                    </a:xfrm>
                    <a:prstGeom prst="rect"/>
                  </pic:spPr>
                </pic:pic>
              </a:graphicData>
            </a:graphic>
          </wp:inline>
        </w:drawing>
      </w:r>
    </w:p>
    <w:p/>
    <w:p>
      <w:pPr>
        <w:keepNext/>
      </w:pPr>
      <w:r>
        <w:rPr>
          <w:b/>
          <w:sz w:val="24"/>
        </w:rPr>
        <w:t>Gráfico 2. Consistencia interna (Alfa de Cronbach)</w:t>
      </w:r>
    </w:p>
    <w:p>
      <w:pPr>
        <w:keepNext/>
      </w:pPr>
      <w:r>
        <w:rPr>
          <w:i/>
        </w:rPr>
        <w:t>Tipo: Psicométrico</w:t>
      </w:r>
    </w:p>
    <w:p>
      <w:pPr>
        <w:keepNext/>
      </w:pPr>
      <w:r>
        <w:t>Resume la consistencia interna del instrumento mediante el alfa de Cronbach.</w:t>
      </w:r>
    </w:p>
    <w:p>
      <w:r>
        <w:drawing>
          <wp:inline xmlns:a="http://schemas.openxmlformats.org/drawingml/2006/main" xmlns:pic="http://schemas.openxmlformats.org/drawingml/2006/picture">
            <wp:extent cx="5486400" cy="2340864"/>
            <wp:docPr id="2" name="Picture 2"/>
            <wp:cNvGraphicFramePr>
              <a:graphicFrameLocks noChangeAspect="1"/>
            </wp:cNvGraphicFramePr>
            <a:graphic>
              <a:graphicData uri="http://schemas.openxmlformats.org/drawingml/2006/picture">
                <pic:pic>
                  <pic:nvPicPr>
                    <pic:cNvPr id="0" name="ds6_cronbach.png"/>
                    <pic:cNvPicPr/>
                  </pic:nvPicPr>
                  <pic:blipFill>
                    <a:blip r:embed="rId10"/>
                    <a:stretch>
                      <a:fillRect/>
                    </a:stretch>
                  </pic:blipFill>
                  <pic:spPr>
                    <a:xfrm>
                      <a:off x="0" y="0"/>
                      <a:ext cx="5486400" cy="2340864"/>
                    </a:xfrm>
                    <a:prstGeom prst="rect"/>
                  </pic:spPr>
                </pic:pic>
              </a:graphicData>
            </a:graphic>
          </wp:inline>
        </w:drawing>
      </w:r>
    </w:p>
    <w:p/>
    <w:p>
      <w:pPr>
        <w:keepNext/>
      </w:pPr>
      <w:r>
        <w:rPr>
          <w:b/>
          <w:sz w:val="24"/>
        </w:rPr>
        <w:t>Gráfico 3. Factor loadings</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ds6_factor_loadings.png"/>
                    <pic:cNvPicPr/>
                  </pic:nvPicPr>
                  <pic:blipFill>
                    <a:blip r:embed="rId11"/>
                    <a:stretch>
                      <a:fillRect/>
                    </a:stretch>
                  </pic:blipFill>
                  <pic:spPr>
                    <a:xfrm>
                      <a:off x="0" y="0"/>
                      <a:ext cx="5486400" cy="2743200"/>
                    </a:xfrm>
                    <a:prstGeom prst="rect"/>
                  </pic:spPr>
                </pic:pic>
              </a:graphicData>
            </a:graphic>
          </wp:inline>
        </w:drawing>
      </w:r>
    </w:p>
    <w:p/>
    <w:p>
      <w:pPr>
        <w:keepNext/>
      </w:pPr>
      <w:r>
        <w:rPr>
          <w:b/>
          <w:sz w:val="24"/>
        </w:rPr>
        <w:t>Gráfico 4. Scree plot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s6_scree_plot.png"/>
                    <pic:cNvPicPr/>
                  </pic:nvPicPr>
                  <pic:blipFill>
                    <a:blip r:embed="rId12"/>
                    <a:stretch>
                      <a:fillRect/>
                    </a:stretch>
                  </pic:blipFill>
                  <pic:spPr>
                    <a:xfrm>
                      <a:off x="0" y="0"/>
                      <a:ext cx="5486400" cy="4114800"/>
                    </a:xfrm>
                    <a:prstGeom prst="rect"/>
                  </pic:spPr>
                </pic:pic>
              </a:graphicData>
            </a:graphic>
          </wp:inline>
        </w:drawing>
      </w:r>
    </w:p>
    <w:p/>
    <w:p>
      <w:pPr>
        <w:keepNext/>
      </w:pPr>
      <w:r>
        <w:rPr>
          <w:b/>
          <w:sz w:val="24"/>
        </w:rPr>
        <w:t>Gráfico 5. Distribución Likert — Ítem 1</w:t>
      </w:r>
    </w:p>
    <w:p>
      <w:pPr>
        <w:keepNext/>
      </w:pPr>
      <w:r>
        <w:rPr>
          <w:i/>
        </w:rPr>
        <w:t>Tipo: Psicométrico</w:t>
      </w:r>
    </w:p>
    <w:p>
      <w:pPr>
        <w:keepNext/>
      </w:pPr>
      <w:r>
        <w:t>Muestra la distribución de respuestas del ítem 1 en la escala Likert.</w:t>
      </w:r>
    </w:p>
    <w:p>
      <w:r>
        <w:drawing>
          <wp:inline xmlns:a="http://schemas.openxmlformats.org/drawingml/2006/main" xmlns:pic="http://schemas.openxmlformats.org/drawingml/2006/picture">
            <wp:extent cx="5486400" cy="2633472"/>
            <wp:docPr id="5" name="Picture 5"/>
            <wp:cNvGraphicFramePr>
              <a:graphicFrameLocks noChangeAspect="1"/>
            </wp:cNvGraphicFramePr>
            <a:graphic>
              <a:graphicData uri="http://schemas.openxmlformats.org/drawingml/2006/picture">
                <pic:pic>
                  <pic:nvPicPr>
                    <pic:cNvPr id="0" name="ds6_likert_q1.png"/>
                    <pic:cNvPicPr/>
                  </pic:nvPicPr>
                  <pic:blipFill>
                    <a:blip r:embed="rId13"/>
                    <a:stretch>
                      <a:fillRect/>
                    </a:stretch>
                  </pic:blipFill>
                  <pic:spPr>
                    <a:xfrm>
                      <a:off x="0" y="0"/>
                      <a:ext cx="5486400" cy="2633472"/>
                    </a:xfrm>
                    <a:prstGeom prst="rect"/>
                  </pic:spPr>
                </pic:pic>
              </a:graphicData>
            </a:graphic>
          </wp:inline>
        </w:drawing>
      </w:r>
    </w:p>
    <w:p/>
    <w:p>
      <w:pPr>
        <w:keepNext/>
      </w:pPr>
      <w:r>
        <w:rPr>
          <w:b/>
          <w:sz w:val="24"/>
        </w:rPr>
        <w:t>Gráfico 6. Distribución Likert — Ítem 2</w:t>
      </w:r>
    </w:p>
    <w:p>
      <w:pPr>
        <w:keepNext/>
      </w:pPr>
      <w:r>
        <w:rPr>
          <w:i/>
        </w:rPr>
        <w:t>Tipo: Psicométrico</w:t>
      </w:r>
    </w:p>
    <w:p>
      <w:pPr>
        <w:keepNext/>
      </w:pPr>
      <w:r>
        <w:t>Muestra la distribución de respuestas del ítem 2 en la escala Likert.</w:t>
      </w:r>
    </w:p>
    <w:p>
      <w:r>
        <w:drawing>
          <wp:inline xmlns:a="http://schemas.openxmlformats.org/drawingml/2006/main" xmlns:pic="http://schemas.openxmlformats.org/drawingml/2006/picture">
            <wp:extent cx="5486400" cy="2633472"/>
            <wp:docPr id="6" name="Picture 6"/>
            <wp:cNvGraphicFramePr>
              <a:graphicFrameLocks noChangeAspect="1"/>
            </wp:cNvGraphicFramePr>
            <a:graphic>
              <a:graphicData uri="http://schemas.openxmlformats.org/drawingml/2006/picture">
                <pic:pic>
                  <pic:nvPicPr>
                    <pic:cNvPr id="0" name="ds6_likert_q2.png"/>
                    <pic:cNvPicPr/>
                  </pic:nvPicPr>
                  <pic:blipFill>
                    <a:blip r:embed="rId14"/>
                    <a:stretch>
                      <a:fillRect/>
                    </a:stretch>
                  </pic:blipFill>
                  <pic:spPr>
                    <a:xfrm>
                      <a:off x="0" y="0"/>
                      <a:ext cx="5486400" cy="2633472"/>
                    </a:xfrm>
                    <a:prstGeom prst="rect"/>
                  </pic:spPr>
                </pic:pic>
              </a:graphicData>
            </a:graphic>
          </wp:inline>
        </w:drawing>
      </w:r>
    </w:p>
    <w:p/>
    <w:p>
      <w:pPr>
        <w:keepNext/>
      </w:pPr>
      <w:r>
        <w:rPr>
          <w:b/>
          <w:sz w:val="24"/>
        </w:rPr>
        <w:t>Gráfico 7. Distribución Likert — Ítem 3</w:t>
      </w:r>
    </w:p>
    <w:p>
      <w:pPr>
        <w:keepNext/>
      </w:pPr>
      <w:r>
        <w:rPr>
          <w:i/>
        </w:rPr>
        <w:t>Tipo: Psicométrico</w:t>
      </w:r>
    </w:p>
    <w:p>
      <w:pPr>
        <w:keepNext/>
      </w:pPr>
      <w:r>
        <w:t>Muestra la distribución de respuestas del ítem 3 en la escala Likert.</w:t>
      </w:r>
    </w:p>
    <w:p>
      <w:r>
        <w:drawing>
          <wp:inline xmlns:a="http://schemas.openxmlformats.org/drawingml/2006/main" xmlns:pic="http://schemas.openxmlformats.org/drawingml/2006/picture">
            <wp:extent cx="5486400" cy="2633472"/>
            <wp:docPr id="7" name="Picture 7"/>
            <wp:cNvGraphicFramePr>
              <a:graphicFrameLocks noChangeAspect="1"/>
            </wp:cNvGraphicFramePr>
            <a:graphic>
              <a:graphicData uri="http://schemas.openxmlformats.org/drawingml/2006/picture">
                <pic:pic>
                  <pic:nvPicPr>
                    <pic:cNvPr id="0" name="ds6_likert_q3.png"/>
                    <pic:cNvPicPr/>
                  </pic:nvPicPr>
                  <pic:blipFill>
                    <a:blip r:embed="rId15"/>
                    <a:stretch>
                      <a:fillRect/>
                    </a:stretch>
                  </pic:blipFill>
                  <pic:spPr>
                    <a:xfrm>
                      <a:off x="0" y="0"/>
                      <a:ext cx="5486400" cy="2633472"/>
                    </a:xfrm>
                    <a:prstGeom prst="rect"/>
                  </pic:spPr>
                </pic:pic>
              </a:graphicData>
            </a:graphic>
          </wp:inline>
        </w:drawing>
      </w:r>
    </w:p>
    <w:p/>
    <w:p>
      <w:pPr>
        <w:keepNext/>
      </w:pPr>
      <w:r>
        <w:rPr>
          <w:b/>
          <w:sz w:val="24"/>
        </w:rPr>
        <w:t>Gráfico 8. Distribución Likert — Ítem 4</w:t>
      </w:r>
    </w:p>
    <w:p>
      <w:pPr>
        <w:keepNext/>
      </w:pPr>
      <w:r>
        <w:rPr>
          <w:i/>
        </w:rPr>
        <w:t>Tipo: Psicométrico</w:t>
      </w:r>
    </w:p>
    <w:p>
      <w:pPr>
        <w:keepNext/>
      </w:pPr>
      <w:r>
        <w:t>Muestra la distribución de respuestas del ítem 4 en la escala Likert.</w:t>
      </w:r>
    </w:p>
    <w:p>
      <w:r>
        <w:drawing>
          <wp:inline xmlns:a="http://schemas.openxmlformats.org/drawingml/2006/main" xmlns:pic="http://schemas.openxmlformats.org/drawingml/2006/picture">
            <wp:extent cx="5486400" cy="2633472"/>
            <wp:docPr id="8" name="Picture 8"/>
            <wp:cNvGraphicFramePr>
              <a:graphicFrameLocks noChangeAspect="1"/>
            </wp:cNvGraphicFramePr>
            <a:graphic>
              <a:graphicData uri="http://schemas.openxmlformats.org/drawingml/2006/picture">
                <pic:pic>
                  <pic:nvPicPr>
                    <pic:cNvPr id="0" name="ds6_likert_q4.png"/>
                    <pic:cNvPicPr/>
                  </pic:nvPicPr>
                  <pic:blipFill>
                    <a:blip r:embed="rId16"/>
                    <a:stretch>
                      <a:fillRect/>
                    </a:stretch>
                  </pic:blipFill>
                  <pic:spPr>
                    <a:xfrm>
                      <a:off x="0" y="0"/>
                      <a:ext cx="5486400" cy="2633472"/>
                    </a:xfrm>
                    <a:prstGeom prst="rect"/>
                  </pic:spPr>
                </pic:pic>
              </a:graphicData>
            </a:graphic>
          </wp:inline>
        </w:drawing>
      </w:r>
    </w:p>
    <w:p/>
    <w:p>
      <w:pPr>
        <w:keepNext/>
      </w:pPr>
      <w:r>
        <w:rPr>
          <w:b/>
          <w:sz w:val="24"/>
        </w:rPr>
        <w:t>Gráfico 9. Distribución Likert — Ítem 5</w:t>
      </w:r>
    </w:p>
    <w:p>
      <w:pPr>
        <w:keepNext/>
      </w:pPr>
      <w:r>
        <w:rPr>
          <w:i/>
        </w:rPr>
        <w:t>Tipo: Psicométrico</w:t>
      </w:r>
    </w:p>
    <w:p>
      <w:pPr>
        <w:keepNext/>
      </w:pPr>
      <w:r>
        <w:t>Muestra la distribución de respuestas del ítem 5 en la escala Likert.</w:t>
      </w:r>
    </w:p>
    <w:p>
      <w:r>
        <w:drawing>
          <wp:inline xmlns:a="http://schemas.openxmlformats.org/drawingml/2006/main" xmlns:pic="http://schemas.openxmlformats.org/drawingml/2006/picture">
            <wp:extent cx="5486400" cy="2633472"/>
            <wp:docPr id="9" name="Picture 9"/>
            <wp:cNvGraphicFramePr>
              <a:graphicFrameLocks noChangeAspect="1"/>
            </wp:cNvGraphicFramePr>
            <a:graphic>
              <a:graphicData uri="http://schemas.openxmlformats.org/drawingml/2006/picture">
                <pic:pic>
                  <pic:nvPicPr>
                    <pic:cNvPr id="0" name="ds6_likert_q5.png"/>
                    <pic:cNvPicPr/>
                  </pic:nvPicPr>
                  <pic:blipFill>
                    <a:blip r:embed="rId17"/>
                    <a:stretch>
                      <a:fillRect/>
                    </a:stretch>
                  </pic:blipFill>
                  <pic:spPr>
                    <a:xfrm>
                      <a:off x="0" y="0"/>
                      <a:ext cx="5486400" cy="2633472"/>
                    </a:xfrm>
                    <a:prstGeom prst="rect"/>
                  </pic:spPr>
                </pic:pic>
              </a:graphicData>
            </a:graphic>
          </wp:inline>
        </w:drawing>
      </w:r>
    </w:p>
    <w:p/>
    <w:p>
      <w:pPr>
        <w:keepNext/>
      </w:pPr>
      <w:r>
        <w:rPr>
          <w:b/>
          <w:sz w:val="24"/>
        </w:rPr>
        <w:t>Gráfico 10. Distribución Likert — Ítem 6</w:t>
      </w:r>
    </w:p>
    <w:p>
      <w:pPr>
        <w:keepNext/>
      </w:pPr>
      <w:r>
        <w:rPr>
          <w:i/>
        </w:rPr>
        <w:t>Tipo: Psicométrico</w:t>
      </w:r>
    </w:p>
    <w:p>
      <w:pPr>
        <w:keepNext/>
      </w:pPr>
      <w:r>
        <w:t>Muestra la distribución de respuestas del ítem 6 en la escala Likert.</w:t>
      </w:r>
    </w:p>
    <w:p>
      <w:r>
        <w:drawing>
          <wp:inline xmlns:a="http://schemas.openxmlformats.org/drawingml/2006/main" xmlns:pic="http://schemas.openxmlformats.org/drawingml/2006/picture">
            <wp:extent cx="5486400" cy="2633472"/>
            <wp:docPr id="10" name="Picture 10"/>
            <wp:cNvGraphicFramePr>
              <a:graphicFrameLocks noChangeAspect="1"/>
            </wp:cNvGraphicFramePr>
            <a:graphic>
              <a:graphicData uri="http://schemas.openxmlformats.org/drawingml/2006/picture">
                <pic:pic>
                  <pic:nvPicPr>
                    <pic:cNvPr id="0" name="ds6_likert_q6.png"/>
                    <pic:cNvPicPr/>
                  </pic:nvPicPr>
                  <pic:blipFill>
                    <a:blip r:embed="rId18"/>
                    <a:stretch>
                      <a:fillRect/>
                    </a:stretch>
                  </pic:blipFill>
                  <pic:spPr>
                    <a:xfrm>
                      <a:off x="0" y="0"/>
                      <a:ext cx="5486400" cy="2633472"/>
                    </a:xfrm>
                    <a:prstGeom prst="rect"/>
                  </pic:spPr>
                </pic:pic>
              </a:graphicData>
            </a:graphic>
          </wp:inline>
        </w:drawing>
      </w:r>
    </w:p>
    <w:p/>
    <w:p>
      <w:pPr>
        <w:keepNext/>
      </w:pPr>
      <w:r>
        <w:rPr>
          <w:b/>
          <w:sz w:val="24"/>
        </w:rPr>
        <w:t>Gráfico 11. Distribución Likert — Ítem 7</w:t>
      </w:r>
    </w:p>
    <w:p>
      <w:pPr>
        <w:keepNext/>
      </w:pPr>
      <w:r>
        <w:rPr>
          <w:i/>
        </w:rPr>
        <w:t>Tipo: Psicométrico</w:t>
      </w:r>
    </w:p>
    <w:p>
      <w:pPr>
        <w:keepNext/>
      </w:pPr>
      <w:r>
        <w:t>Muestra la distribución de respuestas del ítem 7 en la escala Likert.</w:t>
      </w:r>
    </w:p>
    <w:p>
      <w:r>
        <w:drawing>
          <wp:inline xmlns:a="http://schemas.openxmlformats.org/drawingml/2006/main" xmlns:pic="http://schemas.openxmlformats.org/drawingml/2006/picture">
            <wp:extent cx="5486400" cy="2633472"/>
            <wp:docPr id="11" name="Picture 11"/>
            <wp:cNvGraphicFramePr>
              <a:graphicFrameLocks noChangeAspect="1"/>
            </wp:cNvGraphicFramePr>
            <a:graphic>
              <a:graphicData uri="http://schemas.openxmlformats.org/drawingml/2006/picture">
                <pic:pic>
                  <pic:nvPicPr>
                    <pic:cNvPr id="0" name="ds6_likert_q7.png"/>
                    <pic:cNvPicPr/>
                  </pic:nvPicPr>
                  <pic:blipFill>
                    <a:blip r:embed="rId19"/>
                    <a:stretch>
                      <a:fillRect/>
                    </a:stretch>
                  </pic:blipFill>
                  <pic:spPr>
                    <a:xfrm>
                      <a:off x="0" y="0"/>
                      <a:ext cx="5486400" cy="2633472"/>
                    </a:xfrm>
                    <a:prstGeom prst="rect"/>
                  </pic:spPr>
                </pic:pic>
              </a:graphicData>
            </a:graphic>
          </wp:inline>
        </w:drawing>
      </w:r>
    </w:p>
    <w:p/>
    <w:p>
      <w:pPr>
        <w:keepNext/>
      </w:pPr>
      <w:r>
        <w:rPr>
          <w:b/>
          <w:sz w:val="24"/>
        </w:rPr>
        <w:t>Gráfico 12. Distribución Likert — Ítem 8</w:t>
      </w:r>
    </w:p>
    <w:p>
      <w:pPr>
        <w:keepNext/>
      </w:pPr>
      <w:r>
        <w:rPr>
          <w:i/>
        </w:rPr>
        <w:t>Tipo: Psicométrico</w:t>
      </w:r>
    </w:p>
    <w:p>
      <w:pPr>
        <w:keepNext/>
      </w:pPr>
      <w:r>
        <w:t>Muestra la distribución de respuestas del ítem 8 en la escala Likert.</w:t>
      </w:r>
    </w:p>
    <w:p>
      <w:r>
        <w:drawing>
          <wp:inline xmlns:a="http://schemas.openxmlformats.org/drawingml/2006/main" xmlns:pic="http://schemas.openxmlformats.org/drawingml/2006/picture">
            <wp:extent cx="5486400" cy="2633472"/>
            <wp:docPr id="12" name="Picture 12"/>
            <wp:cNvGraphicFramePr>
              <a:graphicFrameLocks noChangeAspect="1"/>
            </wp:cNvGraphicFramePr>
            <a:graphic>
              <a:graphicData uri="http://schemas.openxmlformats.org/drawingml/2006/picture">
                <pic:pic>
                  <pic:nvPicPr>
                    <pic:cNvPr id="0" name="ds6_likert_q8.png"/>
                    <pic:cNvPicPr/>
                  </pic:nvPicPr>
                  <pic:blipFill>
                    <a:blip r:embed="rId20"/>
                    <a:stretch>
                      <a:fillRect/>
                    </a:stretch>
                  </pic:blipFill>
                  <pic:spPr>
                    <a:xfrm>
                      <a:off x="0" y="0"/>
                      <a:ext cx="5486400" cy="2633472"/>
                    </a:xfrm>
                    <a:prstGeom prst="rect"/>
                  </pic:spPr>
                </pic:pic>
              </a:graphicData>
            </a:graphic>
          </wp:inline>
        </w:drawing>
      </w:r>
    </w:p>
    <w:p/>
    <w:p>
      <w:pPr>
        <w:keepNext/>
      </w:pPr>
      <w:r>
        <w:rPr>
          <w:b/>
          <w:sz w:val="24"/>
        </w:rPr>
        <w:t>Gráfico 13. Likert divergent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486400" cy="2254222"/>
            <wp:docPr id="13" name="Picture 13"/>
            <wp:cNvGraphicFramePr>
              <a:graphicFrameLocks noChangeAspect="1"/>
            </wp:cNvGraphicFramePr>
            <a:graphic>
              <a:graphicData uri="http://schemas.openxmlformats.org/drawingml/2006/picture">
                <pic:pic>
                  <pic:nvPicPr>
                    <pic:cNvPr id="0" name="ds6_likert_divergent.png"/>
                    <pic:cNvPicPr/>
                  </pic:nvPicPr>
                  <pic:blipFill>
                    <a:blip r:embed="rId21"/>
                    <a:stretch>
                      <a:fillRect/>
                    </a:stretch>
                  </pic:blipFill>
                  <pic:spPr>
                    <a:xfrm>
                      <a:off x="0" y="0"/>
                      <a:ext cx="5486400" cy="2254222"/>
                    </a:xfrm>
                    <a:prstGeom prst="rect"/>
                  </pic:spPr>
                </pic:pic>
              </a:graphicData>
            </a:graphic>
          </wp:inline>
        </w:drawing>
      </w:r>
    </w:p>
    <w:p/>
    <w:p>
      <w:pPr>
        <w:pStyle w:val="Heading1"/>
        <w:keepNext/>
      </w:pPr>
      <w:r>
        <w:t>12. Conclusión final</w:t>
      </w:r>
    </w:p>
    <w:p>
      <w:r>
        <w:t>En términos generales, el instrumento presenta una consistencia interna cuestionable (α = 0.6987). El análisis por dimensiones sugiere que la fiabilidad no es homogénea en todos los componentes del instrumento, por lo que conviene revisar la estructura interna de cada dimensión de forma específica. Los estadísticos por ítem muestran diferencias en los niveles de respuesta observados, lo cual puede reflejar variabilidad en la forma en que los participantes interpretan o responden a los enunciados. Además, el análisis 'alfa si se elimina el ítem' sugiere que el ítem 'evaluacion_aprendizaje' podría estar reduciendo la consistencia interna, ya que su eliminación incrementaría el alfa a 0.7004. En consecuencia, se recomienda interpretar estos resultados junto con el contenido conceptual de los ítems y los objetivos teóricos del instrumento.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