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DUOC UC — Taller Aplicado de Programación — TPY1101</w:t>
      </w:r>
    </w:p>
    <w:p>
      <w:pPr>
        <w:spacing w:after="200"/>
        <w:jc w:val="center"/>
      </w:pPr>
      <w:r>
        <w:rPr>
          <w:color w:val="595959"/>
          <w:sz w:val="20"/>
          <w:szCs w:val="20"/>
        </w:rPr>
        <w:t xml:space="preserve">Sección 001D | Grupo 6 | Semestre 2026</w:t>
      </w:r>
    </w:p>
    <w:p>
      <w:pPr>
        <w:spacing w:after="40"/>
        <w:jc w:val="center"/>
      </w:pPr>
      <w:r>
        <w:rPr>
          <w:b/>
          <w:bCs/>
          <w:color w:val="2D1654"/>
          <w:sz w:val="30"/>
          <w:szCs w:val="30"/>
        </w:rPr>
        <w:t xml:space="preserve">ANEXO — Plan de Pruebas de Software (Complemento Incremental)</w:t>
      </w:r>
    </w:p>
    <w:p>
      <w:pPr>
        <w:spacing w:after="300"/>
        <w:jc w:val="center"/>
      </w:pPr>
      <w:r>
        <w:rPr>
          <w:color w:val="7D3CAE"/>
          <w:sz w:val="22"/>
          <w:szCs w:val="22"/>
        </w:rPr>
        <w:t xml:space="preserve">ConectaTarot — Casos de Prueba para Funcionalidades Sprint Final</w:t>
      </w:r>
    </w:p>
    <w:p>
      <w:pPr>
        <w:pStyle w:val="Heading1"/>
      </w:pPr>
      <w:r>
        <w:t xml:space="preserve">1. Propósito de este Anexo</w:t>
      </w:r>
    </w:p>
    <w:p>
      <w:pPr>
        <w:spacing w:after="120"/>
      </w:pPr>
      <w:r>
        <w:rPr>
          <w:sz w:val="22"/>
          <w:szCs w:val="22"/>
        </w:rPr>
        <w:t xml:space="preserve">Este documento complementa el Plan de Pruebas de Software (PLN-PRU-001 v1.0) con los casos de prueba correspondientes a las funcionalidades incorporadas durante el cierre del proyecto: autenticación social con Google, selección de rol para nuevos usuarios, pasarela de pago Webpay Plus (ambiente de integración/sandbox de Transbank), sistema de reseñas con calificación por estrellas, videollamadas integradas mediante Jitsi Meet y el endurecimiento de la configuración de seguridad asociada a los nuevos endpoints.</w:t>
      </w:r>
    </w:p>
    <w:p>
      <w:pPr>
        <w:spacing w:after="120"/>
      </w:pPr>
      <w:r>
        <w:rPr>
          <w:sz w:val="22"/>
          <w:szCs w:val="22"/>
        </w:rPr>
        <w:t xml:space="preserve">A diferencia del plan original, donde todos los casos se registraron con estado "No Ejecutado" como planificación previa, los casos aquí descritos fueron ejecutados de forma manual sobre el ambiente desplegado en Railway durante las sesiones de desarrollo, registrándose el Resultado Real obtenido (evidencia: logs del servidor, respuestas HTTP, registros en MySQL y capturas de la aplicación Android).</w:t>
      </w:r>
    </w:p>
    <w:p>
      <w:pPr>
        <w:pStyle w:val="Heading1"/>
      </w:pPr>
      <w:r>
        <w:t xml:space="preserve">2. Resumen de Cobertura Incremental</w:t>
      </w:r>
    </w:p>
    <w:p>
      <w:pPr>
        <w:spacing w:after="80"/>
      </w:pPr>
      <w:r>
        <w:rPr>
          <w:sz w:val="22"/>
          <w:szCs w:val="22"/>
        </w:rPr>
        <w:t xml:space="preserve">Se incorporan 9 nuevos casos de prueba distribuidos así:</w:t>
      </w:r>
    </w:p>
    <w:p>
      <w:pPr>
        <w:sectPr>
          <w:pgSz w:w="12240" w:h="15840" w:orient="portrait"/>
          <w:pgMar w:top="1440" w:right="1440" w:bottom="1440" w:left="1440" w:header="708" w:footer="708" w:gutter="0"/>
          <w:pgNumType/>
          <w:docGrid w:linePitch="360"/>
        </w:sectPr>
      </w:pPr>
    </w:p>
    <w:p>
      <w:pPr>
        <w:pStyle w:val="Heading1"/>
      </w:pPr>
      <w:r>
        <w:t xml:space="preserve">3. Casos de Prueba Ejecutados — Funcionalidades Incrementales</w:t>
      </w:r>
    </w:p>
    <w:p>
      <w:pPr>
        <w:spacing w:after="120"/>
      </w:pPr>
      <w:r>
        <w:rPr>
          <w:i/>
          <w:iCs/>
          <w:color w:val="595959"/>
          <w:sz w:val="18"/>
          <w:szCs w:val="18"/>
        </w:rPr>
        <w:t xml:space="preserve">Categorías: Usabilidad/Autenticación social (CP-UX-014 a 016), Pagos Webpay (CP-PAY-001 a 003), Sesiones/Reseñas (CP-SES-006), Comunicación/Videollamada (CP-COM-001) y Seguridad (CP-SEC-019). Todos ejecutados sobre https://ma-tpy1101-seccion001d-grupo6-production-cec7.up.railway.app</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700"/>
        <w:gridCol w:w="700"/>
        <w:gridCol w:w="1900"/>
        <w:gridCol w:w="1500"/>
        <w:gridCol w:w="1500"/>
        <w:gridCol w:w="1860"/>
        <w:gridCol w:w="1700"/>
        <w:gridCol w:w="1100"/>
      </w:tblGrid>
      <w:tr>
        <w:tc>
          <w:tcPr>
            <w:tcW w:type="dxa" w:w="9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ID</w:t>
            </w:r>
          </w:p>
        </w:tc>
        <w:tc>
          <w:tcPr>
            <w:tcW w:type="dxa" w:w="9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HU Asociada</w:t>
            </w:r>
          </w:p>
        </w:tc>
        <w:tc>
          <w:tcPr>
            <w:tcW w:type="dxa" w:w="17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Título</w:t>
            </w:r>
          </w:p>
        </w:tc>
        <w:tc>
          <w:tcPr>
            <w:tcW w:type="dxa" w:w="7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Prior.</w:t>
            </w:r>
          </w:p>
        </w:tc>
        <w:tc>
          <w:tcPr>
            <w:tcW w:type="dxa" w:w="19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Precondiciones</w:t>
            </w:r>
          </w:p>
        </w:tc>
        <w:tc>
          <w:tcPr>
            <w:tcW w:type="dxa" w:w="15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Datos de Entrada</w:t>
            </w:r>
          </w:p>
        </w:tc>
        <w:tc>
          <w:tcPr>
            <w:tcW w:type="dxa" w:w="15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Pasos de Ejecución</w:t>
            </w:r>
          </w:p>
        </w:tc>
        <w:tc>
          <w:tcPr>
            <w:tcW w:type="dxa" w:w="186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Resultado Esperado</w:t>
            </w:r>
          </w:p>
        </w:tc>
        <w:tc>
          <w:tcPr>
            <w:tcW w:type="dxa" w:w="17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Resultado Real (Obtenido)</w:t>
            </w:r>
          </w:p>
        </w:tc>
        <w:tc>
          <w:tcPr>
            <w:tcW w:type="dxa" w:w="11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Estado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CP-UX-014</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HU-USER-02 (ext.)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Inicio de sesión con cuenta Google (OAuth)</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App Android instalada. Cuenta Firebase/Google configurada con SHA-1 registrado. Backend con endpoint /api/auth/google habilitado.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Cuenta Gmail real del dispositivo (foxlyu9@gmail.com).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Cerrar sesión activa. 2. Pulsar 'Continuar con Google'. 3. Seleccionar cuenta del selector nativo. 4. Verificar respuesta del backend.</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Backend crea o recupera usuario por email, devuelve JWT válido con rol CLIENTE. App redirige a pantalla correspondiente.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Backend respondió 200 OK con token JWT válido, idUsuario asignado y rol CLIENTE. Sesión iniciada correctamente, catálogo de tarotistas cargó sin errores 401.</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CP-UX-015</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HU-USER-01 (ext.)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Selección de rol para usuario nuevo vía Google</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Email de Google no existe previamente en tabla usuario (eliminado manualmente para la prueba).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Email nuevo sin registro previo. Flag esNuevo=true esperado en respuesta.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Eliminar usuario de prueba en BD. 2. Login con Google usando ese email. 3. Verificar flag esNuevo en respuesta JSON. 4. Verificar redirección a pantalla de selección de rol.</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Respuesta incluye "esNuevo": true. App muestra pantalla '¿Cómo quieres usar la app?' con opciones Cliente / Tarotista.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Respuesta del backend: {"esNuevo": true, "rol": "CLIENTE", ...}. App mostró correctamente la pantalla de selección de rol (SeleccionRolActivity) con ambas opciones.</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CP-UX-016</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HU-TAROT-01 (ext.)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Completar perfil profesional desde flujo Google (rol Tarotista)</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Usuario nuevo de Google seleccionó 'Soy Tarotista'.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Nombre profesional: prueba, descripción &gt;= 20 caracteres, precioBase: 15000.</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Seleccionar 'Soy Tarotista' en pantalla de bienvenida. 2. Completar formulario (nombre profesional, descripción, precio). 3. Enviar a /api/tarotistas/completar-perfil. 4. Verificar cambio de rol en BD.</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crea registro en tabla tarotista (estado PENDIENTE), se actualiza descripción/precio, y el rol del usuario cambia de CLIENTE a TAROTISTA.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Endpoint respondió {"success": true, "tarotistaId": ...}. Verificado en MySQL: rol_idRol actualizado a TAROTISTA y registro creado en tabla tarotista.</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CP-PAY-001</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HU-PAY-01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Iniciar transacción de pago Webpay Plus (sandbox)</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Sesión existente con id válido y precioTotal &gt; 0. SDK transbank-sdk-java 6.0.0 configurado con credenciales de integración (commerce code 597055555532).</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POST /api/pagos/iniciar/{sesionId}. Sesión id=9, monto $15.000.</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Cliente presiona '💳 Pagar ahora' en Mis Sesiones. 2. App invoca POST /api/pagos/iniciar/9. 3. Verificar respuesta con url y token. 4. Abrir url + token_ws en navegador.</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Backend responde 200 con {success:true, url, token}. Token se guarda en columna token_webpay de la sesión. Navegador abre formulario de pago Webpay.</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Respuesta: {"success":true,"token":"01abc485...","url":"https://webpay3gint.transbank.cl/webpayserver/initTransaction"}. Verificado en BD: token_webpay actualizado en sesión 9. Formulario Webpay se mostró correctamente en navegador del dispositivo.</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CP-PAY-002</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HU-PAY-01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Confirmar pago exitoso y actualizar estado de sesión</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Transacción Webpay iniciada (CP-PAY-001). Tarjeta de prueba de integración disponible (4051 8856 0044 6623, CVV 123, RUT 11.111.111-1, clave 123).</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Tarjeta de crédito de prueba Transbank (VISA, aprobada). Acción: Aceptar.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Ingresar datos de tarjeta de prueba en formulario Webpay. 2. Autenticar con RUT/clave de prueba. 3. Seleccionar 'Aceptar' en confirmación. 4. Verificar respuesta de /api/pagos/confirmar (commit). 5. Consultar estado_pago en BD.</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Transbank devuelve status=AUTHORIZED. Backend actualiza estado_pago de la sesión a 'PAGADO'. Página de retorno muestra '✅ Pago exitoso'.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Log de Railway: STATUS WEBPAY: AUTHORIZED, responseCode=0, authorizationCode=1213, cardNumber=6623. Verificado en MySQL: sesion id=9 con estado_pago='PAGADO'. Página de confirmación mostró '✅ Pago exitoso'.</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CP-PAY-003</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HU-PAY-01 (ext.)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Reflejar estado de pago en la interfaz de Mis Sesiones</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MEDIA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Sesión con estado_pago='PAGADO' (resultado de CP-PAY-002). Endpoint /api/sesiones/mis-sesiones incluye campo estadoPago en SesionResponseDTO.</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GET /api/sesiones/mis-sesiones con token de cliente.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Abrir 'Mis Sesiones' tras pago exitoso. 2. Verificar indicador de estado superior. 3. Verificar texto y color del botón inferior.</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Indicador de estado cambia de '⏳ Pendiente' (naranja) a '✅ Pagado' (verde). Botón inferior cambia a 'Cancelar (reembolso)' habilitado.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UI mostró correctamente '✅ Pagado' en verde sustituyendo al indicador de pendiente, y el botón 'Cancelar (reembolso)' visible y habilitado para la sesión pagada.</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CP-SES-006</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HU-SES-06 (nueva)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Calificación de sesión completada (reseñas con estrellas)</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MEDIA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Tabla 'resena' creada (FK sesion_id, tarotista_id, usuario_id, calificacion 1-5, comentario). Endpoints POST /api/resenas y GET /api/resenas/tarotista/{id} desplegados.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Sesión con estado CONFIRMADA y fecha+duración ya transcurridas (simulada con UPDATE en BD para forzar 'completada'). Calificación: 5 estrellas, comentario opcional.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Verificar que la app detecta sesión 'Completada' (fecha+duración &lt; ahora). 2. Pulsar '⭐ Calificar'. 3. Seleccionar estrellas en RatingBar y enviar. 4. POST /api/resenas. 5. Verificar registro en tabla resena.</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Botón '⭐ Calificar' visible solo para sesiones CONFIRMADAS ya finalizadas. Reseña almacenada correctamente vinculada a tarotista y usuario.</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Lógica sesionCompletada() evaluada correctamente comparando fecha+duracionMinutos con LocalDateTime.now(). Diálogo de calificación con RatingBar mostrado y endpoint /api/resenas respondió success:true.</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CP-COM-001</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HU-SES-07 (nueva)</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Acceso a videollamada Jitsi Meet dentro de ventana horaria</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MEDIA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Sesión con estado CONFIRMADA y estadoPago='PAGADO'. Fecha de sesión modificada a la hora actual del sistema (NOW()) para forzar la ventana activa.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Link generado: https://meet.jit.si/ConectaTarot-Sesion{id}. Ventana válida: 15 min antes del inicio hasta el fin de la duración.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Forzar fecha de sesión = NOW() vía UPDATE en BD. 2. Abrir Mis Sesiones. 3. Verificar aparición del botón '📹 Unirse a videollamada'. 4. Pulsar botón y verificar apertura de Jitsi Meet en navegador.</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Botón visible solo si la hora actual está entre (fecha-15min) y (fecha+duración). Fuera de esa ventana se muestra el mensaje informativo en su lugar. Al pulsar, se abre la sala Jitsi correspondiente a la sesión.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Funciones ventanaVideollamada() y esSesionFutura() evaluadas correctamente. Botón apareció dentro de la ventana y abrió https://meet.jit.si/ConectaTarot-Sesion5 en el navegador, accediendo a la sala de videoconferencia mediante la opción 'Unirse en el navegador'.</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CP-SEC-019</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HU-SEC-02 (ext.)</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Protección de endpoints de pago y autenticación social</w:t>
            </w:r>
          </w:p>
        </w:tc>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b/>
                <w:bCs/>
                <w:color w:val="000000"/>
                <w:sz w:val="16"/>
                <w:szCs w:val="16"/>
              </w:rPr>
              <w:t xml:space="preserve">ALTA</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SecurityConfig actualizado con rutas /api/auth/google, /api/auth/login, /api/usuarios y /api/pagos/** en lista permitAll(); el resto requiere JWT.</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Peticiones sin token a /api/pagos/iniciar/1 y a /api/tarotistas.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1. POST /api/pagos/iniciar/1 sin header Authorization. 2. GET /api/tarotistas sin header Authorization. 3. Comparar códigos de respuesta HTTP.</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Endpoints de pago accesibles sin autenticación previa (200) por requerirlo el flujo de retorno de Webpay; endpoints de datos de negocio (tarotistas, sesiones) responden 401/403 sin token.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POST /api/pagos/iniciar/1 sin token → 200 OK (tras corregir typo '/api/oagis/**' por '/api/pagos/**' en SecurityConfig). GET /api/tarotistas sin token → 401 (token inválido o expirado), confirmando que el resto de endpoints permanece protegido.</w:t>
            </w:r>
          </w:p>
        </w:tc>
        <w:tc>
          <w:tcPr>
            <w:tcW w:type="dxa" w:w="1100"/>
            <w:tcBorders>
              <w:top w:val="single" w:color="BBBBBB" w:sz="4"/>
              <w:left w:val="single" w:color="BBBBBB" w:sz="4"/>
              <w:bottom w:val="single" w:color="BBBBBB" w:sz="4"/>
              <w:right w:val="single" w:color="BBBBBB" w:sz="4"/>
            </w:tcBorders>
            <w:shd w:fill="D4EDDA" w:val="clear"/>
            <w:tcMar>
              <w:top w:type="dxa" w:w="80"/>
              <w:left w:type="dxa" w:w="120"/>
              <w:bottom w:type="dxa" w:w="80"/>
              <w:right w:type="dxa" w:w="120"/>
            </w:tcMar>
            <w:vAlign w:val="center"/>
          </w:tcPr>
          <w:p>
            <w:pPr>
              <w:jc w:val="center"/>
            </w:pPr>
            <w:r>
              <w:rPr>
                <w:b/>
                <w:bCs/>
                <w:color w:val="1E7E34"/>
                <w:sz w:val="16"/>
                <w:szCs w:val="16"/>
              </w:rPr>
              <w:t xml:space="preserve">APROBADO</w:t>
            </w:r>
          </w:p>
        </w:tc>
      </w:tr>
    </w:tbl>
    <w:p>
      <w:pPr>
        <w:spacing w:before="240"/>
      </w:pPr>
    </w:p>
    <w:p>
      <w:pPr>
        <w:pStyle w:val="Heading1"/>
      </w:pPr>
      <w:r>
        <w:t xml:space="preserve">4. Defectos Detectados y Corregidos Durante la Ejecución</w:t>
      </w:r>
    </w:p>
    <w:p>
      <w:pPr>
        <w:sectPr>
          <w:pgSz w:w="15840" w:h="12240" w:orient="landscape"/>
          <w:pgMar w:top="1080" w:right="1440" w:bottom="108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ID Defecto</w:t>
            </w:r>
          </w:p>
        </w:tc>
        <w:tc>
          <w:tcPr>
            <w:tcW w:type="dxa" w:w="448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Descripción</w:t>
            </w:r>
          </w:p>
        </w:tc>
        <w:tc>
          <w:tcPr>
            <w:tcW w:type="dxa" w:w="3480"/>
            <w:tcBorders>
              <w:top w:val="single" w:color="BBBBBB" w:sz="4"/>
              <w:left w:val="single" w:color="BBBBBB" w:sz="4"/>
              <w:bottom w:val="single" w:color="BBBBBB" w:sz="4"/>
              <w:right w:val="single" w:color="BBBBBB" w:sz="4"/>
            </w:tcBorders>
            <w:shd w:fill="2D1654" w:val="clear"/>
            <w:tcMar>
              <w:top w:type="dxa" w:w="80"/>
              <w:left w:type="dxa" w:w="120"/>
              <w:bottom w:type="dxa" w:w="80"/>
              <w:right w:type="dxa" w:w="120"/>
            </w:tcMar>
            <w:vAlign w:val="center"/>
          </w:tcPr>
          <w:p>
            <w:pPr>
              <w:jc w:val="center"/>
            </w:pPr>
            <w:r>
              <w:rPr>
                <w:b/>
                <w:bCs/>
                <w:color w:val="FFFFFF"/>
                <w:sz w:val="16"/>
                <w:szCs w:val="16"/>
              </w:rPr>
              <w:t xml:space="preserve">Corrección Aplicada</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DEF-019</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Recursión infinita en serialización JSON de TarotistaEspecialidad generaba respuestas de 147KB y fallos al agendar.</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anotó el campo 'tarotista' con @JsonIgnore en la entidad TarotistaEspecialidad.</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DEF-020</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Endpoint PUT /api/usuarios/{id} no existía; edición de perfil retornaba 'Error interno del servidor'.</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implementó actualizarUsuario() en UsuarioService y el método PUT correspondiente en UsuarioController.</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DEF-021</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Endpoint /api/auth/google retornaba 403 Forbidden por configuración de SecurityConfig.</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agregó '/api/auth/google' a la lista de rutas permitAll() en SecurityConfig.</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DEF-022</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PagoController.confirmarPago tenía @PostMapping y @GetMapping duplicados en el mismo método; Spring Boot solo registraba el primero, causando 500 en el retorno GET de Webpay.</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separaron en confirmarPagoPost() y confirmarPagoGet(), ambos delegando a un método privado procesarConfirmacion().</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DEF-023</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Typo '/api/oagis/**' en SecurityConfig en lugar de '/api/pagos/**' provocaba 403 en toda la pasarela de pago.</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corrigió la ruta a '/api/pagos/**'.</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DEF-024</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Uso de java.time.LocalDateTime en SesionAdapter (Kotlin) requería API 26+, incompatible con minSdk 24.</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habilitó coreLibraryDesugaringEnabled con desugar_jdk_libs 2.0.4 y se igualó jvmTarget Kotlin/Java a 1.8.</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bCs/>
                <w:color w:val="000000"/>
                <w:sz w:val="16"/>
                <w:szCs w:val="16"/>
              </w:rPr>
              <w:t xml:space="preserve">DEF-025</w:t>
            </w:r>
          </w:p>
        </w:tc>
        <w:tc>
          <w:tcPr>
            <w:tcW w:type="dxa" w:w="4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SesionResponseDTO no incluía estadoPago, por lo que la app no podía distinguir sesiones pagadas en Mis Sesiones.</w:t>
            </w:r>
          </w:p>
        </w:tc>
        <w:tc>
          <w:tcPr>
            <w:tcW w:type="dxa" w:w="3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b w:val="false"/>
                <w:bCs w:val="false"/>
                <w:color w:val="000000"/>
                <w:sz w:val="16"/>
                <w:szCs w:val="16"/>
              </w:rPr>
              <w:t xml:space="preserve">Se agregó el campo estadoPago al DTO y a su mapeo en convertirADTO().</w:t>
            </w:r>
          </w:p>
        </w:tc>
      </w:tr>
    </w:tbl>
    <w:p>
      <w:pPr>
        <w:spacing w:before="240"/>
      </w:pPr>
    </w:p>
    <w:p>
      <w:pPr>
        <w:pStyle w:val="Heading1"/>
      </w:pPr>
      <w:r>
        <w:t xml:space="preserve">5. Conclusión del Anexo</w:t>
      </w:r>
    </w:p>
    <w:p>
      <w:pPr>
        <w:spacing w:after="120"/>
      </w:pPr>
      <w:r>
        <w:rPr>
          <w:sz w:val="22"/>
          <w:szCs w:val="22"/>
        </w:rPr>
        <w:t xml:space="preserve">Los 9 casos incrementales fueron ejecutados con resultado APROBADO, validando que las nuevas integraciones (Google Sign-In + Firebase Auth, Webpay Plus SDK 6.0.0 en ambiente de integración, sistema de reseñas y videollamadas Jitsi Meet) operan correctamente sobre el backend desplegado en Railway. Durante la ejecución se identificaron y corrigieron 7 defectos adicionales (DEF-019 a DEF-025), todos de severidad Alta o Crítica, documentados en la sección 4. Se recomienda incorporar estos casos al ciclo de regresión del Plan de Pruebas principal (PLN-PRU-001) en su próxima revisión de versión.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2D165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7D3CA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2026-06-15T06:03:20.049Z</dcterms:created>
  <dcterms:modified xsi:type="dcterms:W3CDTF">2026-06-15T06:03:20.051Z</dcterms:modified>
</cp:coreProperties>
</file>

<file path=docProps/custom.xml><?xml version="1.0" encoding="utf-8"?>
<Properties xmlns="http://schemas.openxmlformats.org/officeDocument/2006/custom-properties" xmlns:vt="http://schemas.openxmlformats.org/officeDocument/2006/docPropsVTypes"/>
</file>