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40"/>
      </w:pPr>
    </w:p>
    <w:p>
      <w:pPr>
        <w:spacing w:after="240"/>
      </w:pPr>
      <w:r>
        <w:rPr>
          <w:rFonts w:ascii="Calibri" w:hAnsi="Calibri"/>
          <w:b/>
          <w:color w:val="2E74B5"/>
          <w:sz w:val="20"/>
        </w:rPr>
        <w:t>DOCUMENTAÇÃO DO PRODUTO</w:t>
      </w:r>
    </w:p>
    <w:p>
      <w:pPr>
        <w:pStyle w:val="DocTitle"/>
      </w:pPr>
      <w:r>
        <w:t>Especificação Técnica</w:t>
      </w:r>
    </w:p>
    <w:p>
      <w:pPr>
        <w:pStyle w:val="DocSubtitle"/>
      </w:pPr>
      <w:r>
        <w:t>Tecnologias, arquitetura, dados, APIs, integrações e operação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Sistema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Germinatura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Versão do 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1.0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Data do levantamento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11/08/2026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Escopo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Base atual do workspace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Fonte de verdade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9"/>
              </w:rPr>
              <w:t>Código-fonte disponível em C:\Germinatura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Nota: </w:t>
            </w:r>
            <w:r>
              <w:rPr>
                <w:rFonts w:ascii="Calibri" w:hAnsi="Calibri"/>
                <w:color w:val="111827"/>
                <w:sz w:val="20"/>
              </w:rPr>
              <w:t>Este documento descreve o comportamento observado no código atual. Não houve acesso a histórico Git nem validação de dados de produção; divergências entre intenção e implementação são destacadas como limitações observadas.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Sumário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1. Escopo e visão técnica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2. Arquitetura adotada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3. Stack e versões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4. Organização do código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5. Camadas e fluxos de execução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6. Modelo de dados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7. Catálogo de APIs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8. Autenticação, autorização e segurança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9. Integrações externas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10. Configuração e variáveis de ambiente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11. Persistência, transações e concorrência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12. Build, execução e implantação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13. Testes, qualidade e observabilidade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14. Débitos técnicos e recomendações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15. Rastreabilidade técnica</w:t>
      </w:r>
    </w:p>
    <w:p>
      <w:r>
        <w:br w:type="page"/>
      </w:r>
    </w:p>
    <w:p>
      <w:pPr>
        <w:pStyle w:val="Heading1"/>
      </w:pPr>
      <w:r>
        <w:t>1. Escopo e visão técnica</w:t>
      </w:r>
    </w:p>
    <w:p>
      <w:r>
        <w:rPr>
          <w:rFonts w:ascii="Calibri" w:hAnsi="Calibri"/>
          <w:color w:val="111827"/>
        </w:rPr>
        <w:t>Germinatura é uma aplicação web full-stack monolítica construída com Next.js App Router. Frontend React, middleware, handlers HTTP e acesso a dados compartilham o mesmo projeto e processo de implantação. O banco é PostgreSQL e o acesso principal ocorre via Prisma ORM, com uso complementar de SQL bruto.</w:t>
      </w:r>
    </w:p>
    <w:p>
      <w:r>
        <w:rPr>
          <w:rFonts w:ascii="Calibri" w:hAnsi="Calibri"/>
          <w:color w:val="111827"/>
        </w:rPr>
        <w:t>A solução cobre gestão financeira para comissão de formatura, catálogo/estoque, PDV, reservas e rifas. O sistema adota renderização predominantemente client-side nas páginas de negócio, que consomem rotas internas em /api.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Escopo operacional: </w:t>
            </w:r>
            <w:r>
              <w:rPr>
                <w:rFonts w:ascii="Calibri" w:hAnsi="Calibri"/>
                <w:color w:val="111827"/>
                <w:sz w:val="20"/>
              </w:rPr>
              <w:t>Não há diretório de migrações Prisma, suíte de testes integrada ao package.json, pipeline CI/CD, Dockerfile ou configuração de hospedagem no workspace atual.</w:t>
            </w:r>
          </w:p>
        </w:tc>
      </w:tr>
    </w:tbl>
    <w:p>
      <w:pPr>
        <w:spacing w:after="0"/>
      </w:pPr>
    </w:p>
    <w:p>
      <w:pPr>
        <w:pStyle w:val="Heading1"/>
      </w:pPr>
      <w:r>
        <w:t>2. Arquitetura adotada</w:t>
      </w:r>
    </w:p>
    <w:p>
      <w:pPr>
        <w:pStyle w:val="Heading2"/>
      </w:pPr>
      <w:r>
        <w:t>2.1 Estilo arquitetural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Monólito modular full-stack: UI, API e regras residem no mesmo repositório Next.js.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App Router baseado em arquivos para páginas e route handlers.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Camada de domínio fina: regras de negócio estão principalmente dentro de route handlers e, em menor grau, nas páginas React.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Persistência relacional via Prisma Client singleton e PostgreSQL.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Autenticação própria por JWT em cookie, sem provedor externo.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Integrações síncronas com AbacatePay e Gmail SMTP.</w:t>
      </w:r>
    </w:p>
    <w:p>
      <w:pPr>
        <w:pStyle w:val="Heading2"/>
      </w:pPr>
      <w:r>
        <w:t>2.2 Visão de componentes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00"/>
        <w:gridCol w:w="39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Camada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Responsabilidade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Implementação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Navegador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Renderização, estado de tela, formulários, filtros, CSV, QR Code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React Client Components em app/**/page.tsx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Navegação e guarda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Layout responsivo, menu por perfil, redirecionamentos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DashboardLayout, Sidebar, middleware.ts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API interna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Validação, autorização, orquestração e regras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Next.js route handlers em app/api/**/route.ts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Serviços utilitários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JWT, senha, PIX, datas e Prisma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lib/*.ts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Persistência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Modelos relacionais e transações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Prisma Client 6 + PostgreSQL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Sistemas externos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PIX transparente e e-mail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AbacatePay REST; Nodemailer/Gmail</w:t>
            </w:r>
          </w:p>
        </w:tc>
      </w:tr>
    </w:tbl>
    <w:p>
      <w:pPr>
        <w:spacing w:after="0"/>
      </w:pPr>
    </w:p>
    <w:p>
      <w:pPr>
        <w:pStyle w:val="Heading2"/>
      </w:pPr>
      <w:r>
        <w:t>2.3 Fluxo lógico de uma requisição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827"/>
        </w:rPr>
        <w:t>O navegador carrega uma página do App Router.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827"/>
        </w:rPr>
        <w:t>Para páginas, o middleware lê o cookie session, valida o JWT e aplica redirecionamentos por perfil/senha obrigatória.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827"/>
        </w:rPr>
        <w:t>O Client Component chama uma rota /api com fetch.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827"/>
        </w:rPr>
        <w:t>O route handler valida entrada e, quando implementado, revalida sessão/perfil.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827"/>
        </w:rPr>
        <w:t>O handler usa Prisma Client ou SQL bruto, eventualmente dentro de $transaction.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11827"/>
        </w:rPr>
        <w:t>Integrações externas são chamadas de modo síncrono e a resposta é devolvida em JSON.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  <w:sz w:val="20"/>
              </w:rPr>
              <w:t xml:space="preserve">Fronteira de segurança: </w:t>
            </w:r>
            <w:r>
              <w:rPr>
                <w:rFonts w:ascii="Calibri" w:hAnsi="Calibri"/>
                <w:color w:val="111827"/>
                <w:sz w:val="20"/>
              </w:rPr>
              <w:t>O matcher do middleware exclui todas as rotas /api. Portanto, a segurança de cada API depende exclusivamente da validação presente no próprio handler.</w:t>
            </w:r>
          </w:p>
        </w:tc>
      </w:tr>
    </w:tbl>
    <w:p>
      <w:pPr>
        <w:spacing w:after="0"/>
      </w:pPr>
    </w:p>
    <w:p>
      <w:pPr>
        <w:pStyle w:val="Heading1"/>
      </w:pPr>
      <w:r>
        <w:t>3. Stack e versões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1700"/>
        <w:gridCol w:w="38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Tecnologia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Versão/declarado</w:t>
            </w:r>
          </w:p>
        </w:tc>
        <w:tc>
          <w:tcPr>
            <w:tcW w:type="dxa" w:w="3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Uso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Framework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Next.js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16.1.6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App Router, middleware, route handlers, build/start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UI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React / React DOM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19.2.3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Client Components e estado local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Linguagem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TypeScript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^5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strict=true, noEmit, moduleResolution=bundler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Estilo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Tailwind CSS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^4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PostCSS e tokens em globals.css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ORM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Prisma / @prisma/client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^6.19.2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Schema, client, transações e consultas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Banco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PostgreSQL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16-alpine no Compose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Persistência relacional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Autenticação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jose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^6.1.3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JWT HS256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Senha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bcryptjs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^3.0.3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Hash/compare com custo 10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Componentes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Radix Switch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^1.2.6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Chave de ativação de reservas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Ícones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lucide-react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^0.576.0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Iconografia da interface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Gráficos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recharts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^3.8.1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Lucro semanal no dashboard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QR Code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qrcode.react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^4.2.0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QR PIX em PDV/reservas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E-mail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nodemailer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^8.0.4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Notificação do ganhador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Identificadores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uuid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^13.0.0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Dependência declarada; sem uso encontrado no app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Lint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ESLint / eslint-config-next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^9 / 16.1.6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Core Web Vitals e TypeScript</w:t>
            </w:r>
          </w:p>
        </w:tc>
      </w:tr>
    </w:tbl>
    <w:p>
      <w:pPr>
        <w:spacing w:after="0"/>
      </w:pPr>
    </w:p>
    <w:p>
      <w:pPr>
        <w:pStyle w:val="Heading2"/>
      </w:pPr>
      <w:r>
        <w:t>3.1 Frontend e design system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Fonte Poppins carregada por next/font/google com pesos 400–900.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Cores globais: primary #001ec5, background-light #f6f6f8; pesos tipográficos são remapeados para reduzir intensidade visual.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Layout responsivo com sidebar desktop e drawer móvel; PDV/login/cadastro/troca de senha omitem a navegação lateral.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Feedback por ToastProvider próprio; tabelas e cards reutilizáveis em components/ui.</w:t>
      </w:r>
    </w:p>
    <w:p>
      <w:pPr>
        <w:pStyle w:val="Heading1"/>
      </w:pPr>
      <w:r>
        <w:t>4. Organização do código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Diretório/arquivo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Responsabilidade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app/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Páginas, layout global, CSS e APIs do App Router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app/api/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Handlers REST internos agrupados por domínio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components/layout/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Shell responsivo, sidebar e menu por papel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components/ui/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Toast, KPI, tabela de transações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lib/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Prisma singleton, JWT, bcrypt, PIX BR Code e datas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prisma/schema.prisma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Modelo relacional e enums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prisma/seed.ts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Seed destrutivo de usuários/produtos de exemplo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scripts/ e tmp/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Verificações manuais, inspeções, seeds e diagnósticos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docker-compose.yml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PostgreSQL e pgAdmin para ambiente local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middleware.ts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Guarda de páginas e redirecionamento por perfil</w:t>
            </w:r>
          </w:p>
        </w:tc>
      </w:tr>
    </w:tbl>
    <w:p>
      <w:pPr>
        <w:spacing w:after="0"/>
      </w:pPr>
    </w:p>
    <w:p>
      <w:pPr>
        <w:pStyle w:val="Heading1"/>
      </w:pPr>
      <w:r>
        <w:t>5. Camadas e fluxos de execução</w:t>
      </w:r>
    </w:p>
    <w:p>
      <w:pPr>
        <w:pStyle w:val="Heading2"/>
      </w:pPr>
      <w:r>
        <w:t>5.1 Páginas</w:t>
      </w:r>
    </w:p>
    <w:p>
      <w:r>
        <w:rPr>
          <w:rFonts w:ascii="Calibri" w:hAnsi="Calibri"/>
          <w:color w:val="111827"/>
        </w:rPr>
        <w:t>As páginas de negócio são Client Components (“use client”). Elas mantêm estado com useState/useMemo/useEffect, chamam APIs com fetch, formatam moeda/data e implementam parte das validações de UX. Não há biblioteca de gerenciamento de estado global nem camada de consulta/cache dedicada.</w:t>
      </w:r>
    </w:p>
    <w:p>
      <w:pPr>
        <w:pStyle w:val="Heading2"/>
      </w:pPr>
      <w:r>
        <w:t>5.2 API e regras</w:t>
      </w:r>
    </w:p>
    <w:p>
      <w:r>
        <w:rPr>
          <w:rFonts w:ascii="Calibri" w:hAnsi="Calibri"/>
          <w:color w:val="111827"/>
        </w:rPr>
        <w:t>Route handlers concentram validação, autorização e persistência. Não existem controllers/services/repositories separados. A consequência é acoplamento direto entre HTTP e Prisma e duplicação de regras de estoque, autenticação e cancelamento em múltiplas rotas.</w:t>
      </w:r>
    </w:p>
    <w:p>
      <w:pPr>
        <w:pStyle w:val="Heading2"/>
      </w:pPr>
      <w:r>
        <w:t>5.3 Acesso a dados</w:t>
      </w:r>
    </w:p>
    <w:p>
      <w:r>
        <w:rPr>
          <w:rFonts w:ascii="Calibri" w:hAnsi="Calibri"/>
          <w:color w:val="111827"/>
        </w:rPr>
        <w:t>lib/prisma.ts aplica o padrão singleton em desenvolvimento para evitar múltiplas conexões com hot reload. Consultas usam Prisma tipado, casts para any e SQL bruto/unsafe em trechos de estoque, meta e compatibilidade de schema.</w:t>
      </w:r>
    </w:p>
    <w:p>
      <w:pPr>
        <w:pStyle w:val="Heading2"/>
      </w:pPr>
      <w:r>
        <w:t>5.4 Diagrama de dependência textual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Origem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Chama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Destino/efeito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Páginas React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fetch JSON/FormData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Route handlers /api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Middleware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decrypt(cookie)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jose/JWT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Route handlers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Prisma Client / SQL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PostgreSQL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Checkout de rifa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HTTPS Bearer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AbacatePay V2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Sorteio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SMTP Gmail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Nodemailer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PDV/reservas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montarPayloadPix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QR Code BR Code local</w:t>
            </w:r>
          </w:p>
        </w:tc>
      </w:tr>
    </w:tbl>
    <w:p>
      <w:pPr>
        <w:spacing w:after="0"/>
      </w:pPr>
    </w:p>
    <w:p>
      <w:pPr>
        <w:pStyle w:val="Heading1"/>
      </w:pPr>
      <w:r>
        <w:t>6. Modelo de dados</w:t>
      </w:r>
    </w:p>
    <w:p>
      <w:pPr>
        <w:pStyle w:val="Heading2"/>
      </w:pPr>
      <w:r>
        <w:t>6.1 Entidades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Entidade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Papel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Relacionamentos-chave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Usuario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Identidade e perfil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Vendas, transações, reservas, números e pedidos de rifa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Produto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Item, grupo ou SKU promocional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Histórico de preços, estoque, pai/filhos, promoção e itens vendidos/reservados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PrecoProduto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Histórico imutável de preço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N:1 Produto; cascade no delete do produto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Promocao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Regra percentual, quantidade ou combo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Produto alvo, produtos temporários e PromocaoItem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PromocaoItem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Composição de COMBO_MIX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N:1 promoção e N:1 produto, ambos cascade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Venda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Cabeçalho de venda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Itens, usuário e TransacaoFinanceira única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ItemVenda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Snapshot parcial da venda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Produto, quantidade e precoUnitario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TransacaoFinanceira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Entrada ou saída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Usuário opcional e Venda opcional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Reserva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Pedido de produtos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Usuário, status e ItemReserva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ItemReserva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Quantidade reservada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Produto; não persiste preço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Configuracao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Chave/valor global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META_ARRECADACAO e reservas_ativas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Rifa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Campanha numerada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NumeroRifa; resultado e status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NumeroRifa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Número individual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Rifa, usuário e pedido; unique(rifaId, numero)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PedidoRifa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Compra on-line/manual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Usuário, números, pagamento e PIX</w:t>
            </w:r>
          </w:p>
        </w:tc>
      </w:tr>
    </w:tbl>
    <w:p>
      <w:pPr>
        <w:spacing w:after="0"/>
      </w:pPr>
    </w:p>
    <w:p>
      <w:pPr>
        <w:pStyle w:val="Heading2"/>
      </w:pPr>
      <w:r>
        <w:t>6.2 Enums e máquinas de estado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00"/>
        <w:gridCol w:w="37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Enum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Valores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Transições observadas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Perfil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ADMIN, VENDEDOR, CONSUMER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Definido no cadastro/gestão; sem workflow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TipoTransacao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ENTRADA, SAIDA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Imutável após criação; não há PUT/DELETE genérico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StatusReserva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PENDENTE, APROVADA, CANCELADA, CONCLUIDA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PENDENTE → CANCELADA/CONCLUIDA; APROVADA não usada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TipoPromocao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VALOR, QUANTIDADE, COMBO, GRUPO, COMBO_MIX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Ativação/inativação por booleano e período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StatusRifa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RASCUNHO, ATIVA, FINALIZADA, CANCELADA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 edita livremente; sorteio força FINALIZADA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StatusNumeroRifa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DISPONIVEL, RESERVADO, VENDIDO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Checkout reserva; pagamento vende; expiração libera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StatusPedidoRifa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PENDENTE, PAGO, CANCELADO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Checkout cria PENDENTE; gateway vende; expiração cancela</w:t>
            </w:r>
          </w:p>
        </w:tc>
      </w:tr>
    </w:tbl>
    <w:p>
      <w:pPr>
        <w:spacing w:after="0"/>
      </w:pPr>
    </w:p>
    <w:p>
      <w:pPr>
        <w:pStyle w:val="Heading2"/>
      </w:pPr>
      <w:r>
        <w:t>6.3 Decisões de persistência relevantes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Dinheiro usa Float, sujeito a representação binária; não há Decimal.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Imagens são armazenadas em texto Base64 no banco, elevando volume de linhas e payloads.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PedidoRifa.abacatePayId e Venda.transacaoId são únicos.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Somente algumas relações especificam onDelete Cascade; exclusões de produto/usuário podem falhar por referências.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Não há campo persistente needsPasswordReset; a regra depende da senha digitada ser “a12”.</w:t>
      </w:r>
    </w:p>
    <w:p>
      <w:pPr>
        <w:pStyle w:val="Heading1"/>
      </w:pPr>
      <w:r>
        <w:t>7. Catálogo de APIs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2450"/>
        <w:gridCol w:w="2710"/>
      </w:tblGrid>
      <w:tr>
        <w:trPr>
          <w:tblHeader w:val="true"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Método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Rota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Acesso no handler</w:t>
            </w:r>
          </w:p>
        </w:tc>
        <w:tc>
          <w:tcPr>
            <w:tcW w:type="dxa" w:w="2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Função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/api/auth/login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Público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Autentica e cria cookie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/api/auth/logout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Público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Expira cookie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/api/auth/me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Sessão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Retorna usuário da sessão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/api/auth/reset-password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Sessão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Troca senha e renova JWT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/api/cadastro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Público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 CONSUMER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/api/admin/reset-senha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Redefine senha por e-mail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/api/usuarios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Lista/cria usuário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PUT/DELETE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/api/usuarios/[id]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Edita/exclui usuário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/api/dashboard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validação no handler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Agregados financeiros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/api/transacoes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validação no handler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Consulta/cria transação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/api/configuracoes/meta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 aberto; POST 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Lê/altera meta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/api/configuracoes/reservas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 aberto; POST 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Lê/altera chave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/api/produtos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 aberto; POST 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Catálogo/criação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GET/PUT/DELETE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/api/produtos/[id]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 aberto; escrita 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Detalhe/manutenção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PATCH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/api/produtos/[id]/estoque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Define estoque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/api/admin/promocoes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 sem validação; POST 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Lista/cria promoção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GET/PUT/DELETE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/api/admin/promocoes/[id]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 sem validação; escrita 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Manutenção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/api/pdv/estoque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ADMIN/VENDEDOR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Reserva/libera estoque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/api/vendas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ADMIN/VENDEDOR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Lista/cria venda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GET/DELETE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/api/vendas/[id]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ADMIN/VENDEDOR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Detalhe/cancelamento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/api/reservas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Sessão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Lista/cria reserva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PATCH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/api/reservas/[id]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Sessão; conclusão 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Cancela/conclui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/api/rifas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Lista/cria rifa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GET/PUT/DELETE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/api/rifas/[id]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Detalhe/manutenção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/api/rifas/[id]/sortear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Sorteia e notifica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/api/consumer/rifas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Sessão: 3 perfis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Catálogo e expiração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/api/consumer/rifas/[id]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Sessão: 3 perfis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Detalhe público protegido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/api/consumer/rifas/checkout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CONSUMER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Reserva números e cria PIX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/api/consumer/rifas/minhas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Sessão: 3 perfis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Bilhetes do usuário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/api/consumer/pedidos/[id]/status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Sessão parcial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Polling AbacatePay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/api/pdv/rifas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ADMIN/VENDEDOR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Rifas ativas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/api/pdv/rifas/[id]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ADMIN/VENDEDOR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Números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/api/pdv/rifas/checkout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ADMIN/VENDEDOR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Venda manual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/api/webhooks/abacatepay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autenticação/assinatura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Confirma pagamento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/api/pix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validação de sessão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Gera payload BR Code</w:t>
            </w:r>
          </w:p>
        </w:tc>
      </w:tr>
    </w:tbl>
    <w:p>
      <w:pPr>
        <w:spacing w:after="0"/>
      </w:pPr>
    </w:p>
    <w:p>
      <w:pPr>
        <w:pStyle w:val="Heading1"/>
      </w:pPr>
      <w:r>
        <w:t>8. Autenticação, autorização e segurança</w:t>
      </w:r>
    </w:p>
    <w:p>
      <w:pPr>
        <w:pStyle w:val="Heading2"/>
      </w:pPr>
      <w:r>
        <w:t>8.1 Implementação atual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JWT assinado com HS256 via jose, expiração de duas horas.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Cookie httpOnly, path=/ e expires; flags secure e sameSite não são definidas explicitamente.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Senha com bcryptjs, salt/custo 10.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Middleware protege páginas e aplica ABAC por perfil em grupos de rotas.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Handlers críticos usam getSession/decrypt e validam perfil de forma local.</w:t>
      </w:r>
    </w:p>
    <w:p>
      <w:pPr>
        <w:pStyle w:val="Heading2"/>
      </w:pPr>
      <w:r>
        <w:t>8.2 Exposições observadas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300"/>
        <w:gridCol w:w="40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Prioridade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Achado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Impacto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Crítica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Chave JWT fixa no código: secret_key_formatura_germinare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Qualquer acesso ao código permite forjar sessões; JWT_SECRET do ambiente não é usado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Alta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Middleware exclui /api e diversos handlers não autenticam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Dashboard, transações, produtos, promoções, PIX e configurações podem ser acessados diretamente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Alta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 /api/transacoes sem autenticação/validação de perfil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Criação arbitrária de lançamentos financeiros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Alta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Webhook AbacatePay não verifica assinatura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Evento forjado pode marcar pedido como pago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Alta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SQL bruto interpolado em venda/cancelamento para produtoId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Risco de injeção se identificador controlado atravessar validações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Média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Cookie sem secure/sameSite explícitos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Proteção depende de defaults e do ambiente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Média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Polling permite acesso sem sessão porque a checagem de proprietário só roda se session existir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Consulta de status por quem souber o ID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Média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CSRF explícito para operações por cookie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Requisições mutáveis podem depender apenas de SameSite implícito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Média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Autorização duplicada e inconsistente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Diferença entre menu, middleware e APIs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Baixa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Logs incluem IDs e detalhes operacionais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Possível exposição em logs centralizados</w:t>
            </w:r>
          </w:p>
        </w:tc>
      </w:tr>
    </w:tbl>
    <w:p>
      <w:pPr>
        <w:spacing w:after="0"/>
      </w:pPr>
    </w:p>
    <w:p>
      <w:pPr>
        <w:pStyle w:val="Heading1"/>
      </w:pPr>
      <w:r>
        <w:t>9. Integrações externas</w:t>
      </w:r>
    </w:p>
    <w:p>
      <w:pPr>
        <w:pStyle w:val="Heading2"/>
      </w:pPr>
      <w:r>
        <w:t>9.1 AbacatePay V2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Criação: POST https://api.abacatepay.com/v2/transparents/create com Bearer ABACATEPAY_API_KEY.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Método PIX, valor em centavos, expiração de 900 segundos e dados do cliente.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Persistência de ID externo, BR Code copia-e-cola e QR Code Base64.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Polling: GET /v2/transparents/check?id=&lt;abacatePayId&gt;.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Webhook local aceita BILLING_PAID ou status PAID/PAGO.</w:t>
      </w:r>
    </w:p>
    <w:p>
      <w:pPr>
        <w:pStyle w:val="Heading2"/>
      </w:pPr>
      <w:r>
        <w:t>9.2 E-mail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Nodemailer com service=gmail, EMAIL_USER e APP_PASSWORD.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Somente o ganhador de rifa recebe mensagem; HTML está embutido no route handler.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Falha é capturada e retornada como emailSent=false, sem rollback do sorteio.</w:t>
      </w:r>
    </w:p>
    <w:p>
      <w:pPr>
        <w:pStyle w:val="Heading2"/>
      </w:pPr>
      <w:r>
        <w:t>9.3 PIX local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lib/pix.ts gera BR Code EMV/BACEN e CRC16 para PDV de produtos, reservas e PDV de rifas.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Esse PIX é estático em termos de conciliação: o sistema não verifica pagamento e o operador confirma manualmente.</w:t>
      </w:r>
    </w:p>
    <w:p>
      <w:pPr>
        <w:pStyle w:val="Heading2"/>
      </w:pPr>
      <w:r>
        <w:t>9.4 Recursos externos de interface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Logo carregado diretamente de https://i.imgur.com/EnMI9CP.png em layout/sidebar.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Fonte Poppins usa next/font/google, sujeita ao comportamento de build/cache do Next.js.</w:t>
      </w:r>
    </w:p>
    <w:p>
      <w:pPr>
        <w:pStyle w:val="Heading1"/>
      </w:pPr>
      <w:r>
        <w:t>10. Configuração e variáveis de ambiente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600"/>
        <w:gridCol w:w="3460"/>
      </w:tblGrid>
      <w:tr>
        <w:trPr>
          <w:tblHeader w:val="true"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Variável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Obrigatoriedade</w:t>
            </w:r>
          </w:p>
        </w:tc>
        <w:tc>
          <w:tcPr>
            <w:tcW w:type="dxa" w:w="3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Uso / fallback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DATABASE_URL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Obrigatória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Conexão Prisma/PostgreSQL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ABACATEPAY_API_KEY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Obrigatória para compra on-line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Bearer das APIs de PIX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EMAIL_USER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Opcional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Conta Gmail remetente; sem ela, e-mail não é enviado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APP_PASSWORD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Opcional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Senha de aplicativo Gmail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NEXT_PUBLIC_PIX_CHAVE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Necessária para PIX local útil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Sem fallback válido em algumas telas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NEXT_PUBLIC_PIX_NOME_RECEBEDOR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Opcional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Fallback Germinatura/Comissao GerminareTECH/Plataforma Web conforme tela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NEXT_PUBLIC_PIX_CIDADE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Opcional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Fallback Sao Paulo/SAO PAULO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NEXT_PUBLIC_PIX_META_ARRECADACAO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Opcional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Meta padrão; fallback 60000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NODE_ENV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Gerenciada pelo runtime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Controla singleton global do Prisma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JWT_SECRET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Não utilizado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Comentado como intenção, mas segredo está hardcoded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  <w:sz w:val="20"/>
              </w:rPr>
              <w:t xml:space="preserve">Configuração incompleta: </w:t>
            </w:r>
            <w:r>
              <w:rPr>
                <w:rFonts w:ascii="Calibri" w:hAnsi="Calibri"/>
                <w:color w:val="111827"/>
                <w:sz w:val="20"/>
              </w:rPr>
              <w:t>Nenhum arquivo .env está presente no workspace entregue. O README documenta apenas DATABASE_URL, mas o funcionamento completo exige as variáveis adicionais acima.</w:t>
            </w:r>
          </w:p>
        </w:tc>
      </w:tr>
    </w:tbl>
    <w:p>
      <w:pPr>
        <w:spacing w:after="0"/>
      </w:pPr>
    </w:p>
    <w:p>
      <w:pPr>
        <w:pStyle w:val="Heading1"/>
      </w:pPr>
      <w:r>
        <w:t>11. Persistência, transações e concorrência</w:t>
      </w:r>
    </w:p>
    <w:p>
      <w:pPr>
        <w:pStyle w:val="Heading2"/>
      </w:pPr>
      <w:r>
        <w:t>11.1 Uso correto de transações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Venda de produto: baixa de estoque + transação financeira + venda/itens em $transaction.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Reserva de produto: validação/baixa de estoque + criação da reserva em $transaction.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Reserva/liberação temporária do PDV: todos os itens em $transaction, com UPDATE condicional estoque &gt;= quantidade.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Exclusão de venda: restauração, remoção de itens, venda e financeiro em $transaction.</w:t>
      </w:r>
    </w:p>
    <w:p>
      <w:pPr>
        <w:pStyle w:val="Heading2"/>
      </w:pPr>
      <w:r>
        <w:t>11.2 Operações não atômicas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Conclusão de reserva cria financeiro, venda e status em operações independentes.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Cancelamento de reserva restaura item a item antes de mudar status.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Checkout de rifa cria pedido, reserva números, chama gateway e atualiza pedido em etapas separadas.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Webhook/polling atualizam pedido e números em duas operações.</w:t>
      </w:r>
    </w:p>
    <w:p>
      <w:pPr>
        <w:pStyle w:val="Heading2"/>
      </w:pPr>
      <w:r>
        <w:t>11.3 SQL bruto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$queryRaw/$executeRaw parametrizados: meta e parte das atualizações de estoque.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$queryRawUnsafe parametrizado: consultas/updates de estoque e composição.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$queryRawUnsafe com interpolação de produtoId: POST/DELETE de vendas; deve ser removido.</w:t>
      </w:r>
    </w:p>
    <w:p>
      <w:pPr>
        <w:pStyle w:val="Heading2"/>
      </w:pPr>
      <w:r>
        <w:t>11.4 Índices</w:t>
      </w:r>
    </w:p>
    <w:p>
      <w:r>
        <w:rPr>
          <w:rFonts w:ascii="Calibri" w:hAnsi="Calibri"/>
          <w:color w:val="111827"/>
        </w:rPr>
        <w:t>O schema declara índices apenas por meio de chaves únicas: Usuario.email, Configuracao.chave, Venda.transacaoId, PedidoRifa.abacatePayId e NumeroRifa(rifaId, numero). Não há índices explícitos para filtros recorrentes por status/data/usuarioId, o que pode limitar escala.</w:t>
      </w:r>
    </w:p>
    <w:p>
      <w:pPr>
        <w:pStyle w:val="Heading1"/>
      </w:pPr>
      <w:r>
        <w:t>12. Build, execução e implantação</w:t>
      </w:r>
    </w:p>
    <w:p>
      <w:pPr>
        <w:pStyle w:val="Heading2"/>
      </w:pPr>
      <w:r>
        <w:t>12.1 Scripts npm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Comando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Efeito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npm run dev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next dev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npm run build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next build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npm run start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next start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npm run lint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eslint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postinstall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prisma generate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prisma seed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npx tsx prisma/seed.ts; tsx não está declarado nas dependências</w:t>
            </w:r>
          </w:p>
        </w:tc>
      </w:tr>
    </w:tbl>
    <w:p>
      <w:pPr>
        <w:spacing w:after="0"/>
      </w:pPr>
    </w:p>
    <w:p>
      <w:pPr>
        <w:pStyle w:val="Heading2"/>
      </w:pPr>
      <w:r>
        <w:t>12.2 Infraestrutura local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docker-compose.yml sobe postgres:16-alpine na porta 5432, banco plataforma_vendas e volume postgres_data.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pgAdmin 4 é exposto na porta 5050 e depende do serviço db.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Credenciais padrão do Compose são postgres/postgres e admin@admin.com/admin; adequadas apenas a desenvolvimento local.</w:t>
      </w:r>
    </w:p>
    <w:p>
      <w:pPr>
        <w:pStyle w:val="Heading2"/>
      </w:pPr>
      <w:r>
        <w:t>12.3 Migração e seed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README orienta prisma migrate dev, porém não há prisma/migrations no workspace.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prisma/seed.ts apaga vendas, transações, usuários e produtos e cria contas padrão admin/admin e vendedor/vendedor, além de produtos de exemplo.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 seed é destrutivo e não limpa todos os domínios relacionais antes de usuários/produtos; pode falhar em banco já populado com reservas/rifas.</w:t>
      </w:r>
    </w:p>
    <w:p>
      <w:pPr>
        <w:pStyle w:val="Heading2"/>
      </w:pPr>
      <w:r>
        <w:t>12.4 Estado de validação local</w:t>
      </w:r>
    </w:p>
    <w:p>
      <w:r>
        <w:rPr>
          <w:rFonts w:ascii="Calibri" w:hAnsi="Calibri"/>
          <w:color w:val="111827"/>
        </w:rPr>
        <w:t>node_modules não está presente. Há registro anterior de falha EPERM ao gerar Prisma Client em outro caminho e alerta de depreciação da configuração package.json#prisma para Prisma 7. Esses logs não equivalem a um build atual aprovado.</w:t>
      </w:r>
    </w:p>
    <w:p>
      <w:pPr>
        <w:pStyle w:val="Heading1"/>
      </w:pPr>
      <w:r>
        <w:t>13. Testes, qualidade e observabilidade</w:t>
      </w:r>
    </w:p>
    <w:p>
      <w:pPr>
        <w:pStyle w:val="Heading2"/>
      </w:pPr>
      <w:r>
        <w:t>13.1 Testes existentes</w:t>
      </w:r>
    </w:p>
    <w:p>
      <w:r>
        <w:rPr>
          <w:rFonts w:ascii="Calibri" w:hAnsi="Calibri"/>
          <w:color w:val="111827"/>
        </w:rPr>
        <w:t>Não existem testes automatizados ligados ao ciclo npm. scripts/ e tmp/ contêm verificações manuais que consultam banco ou servidor local, simulam vendas, inspecionam promoções, checam limites de paginação e exercitam checkout. Elas usam console.log em vez de framework de assertions e várias alteram dados.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Grupo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Exemplos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Natureza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verify-api.ts; verify-vendas-api.ts; verify-limits.ts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Smoke test dependente de localhost:3000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Promoções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verify-promo-changes.ts; verify-logic.ts; check-promos.ts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Consulta banco e imprime PASS/FAIL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Reservas/rifas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test-reservas.ts; test-checkout-logic.ts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Exercício manual; pode criar/remover registros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Carga/dados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simulate-sales.ts; seed-2025.ts; seed-2026.ts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Geração destrutiva/mutável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Diagnóstico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inspect-db.ts; check-db.ts; tmp/*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Inspeção ad hoc</w:t>
            </w:r>
          </w:p>
        </w:tc>
      </w:tr>
    </w:tbl>
    <w:p>
      <w:pPr>
        <w:spacing w:after="0"/>
      </w:pPr>
    </w:p>
    <w:p>
      <w:pPr>
        <w:pStyle w:val="Heading2"/>
      </w:pPr>
      <w:r>
        <w:t>13.2 Logging e tratamento de erros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Observabilidade limitada a console.log/warn/error no servidor e console.error no cliente.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Não há correlação de requisição, métricas, tracing, auditoria, serviço de erro ou health check.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Respostas de erro variam entre português/inglês e entre 400, 401, 403, 409, 500, 502 e 503.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11827"/>
        </w:rPr>
        <w:t>Webhook retorna HTTP 200 mesmo em exceção para evitar reentrega; isso pode ocultar perda de eventos.</w:t>
      </w:r>
    </w:p>
    <w:p>
      <w:pPr>
        <w:pStyle w:val="Heading1"/>
      </w:pPr>
      <w:r>
        <w:t>14. Débitos técnicos e recomendações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Prioridade</w:t>
            </w:r>
          </w:p>
        </w:tc>
        <w:tc>
          <w:tcPr>
            <w:tcW w:type="dxa" w:w="8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Recomendação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P0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Externalizar JWT_SECRET, rotacionar segredo e padronizar cookies secure/sameSite; invalidar sessões antigas.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P0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Aplicar autenticação/autorização uniforme a todas as APIs e assinar/verificar webhook AbacatePay.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P0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Remover SQL interpolado; usar Prisma ou queries parametrizadas.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P0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Tornar checkout/pagamento de rifa idempotente e transacional, com lock/UPDATE condicional por status.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Registrar receita de rifas no financeiro com idempotência por PedidoRifa.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Corrigir restauração de COMBO_MIX e centralizar cálculo/baixa/liberação de estoque em serviço único.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Envolver conclusão/cancelamento de reserva em transações e persistir preço reservado.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Trocar Float por Decimal/Numeric para valores monetários.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Criar migrações versionadas e substituir o seed destrutivo por fixtures seguras.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Adicionar testes unitários de preço/estoque/status e testes de integração das APIs críticas.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Extrair services/repositories e esquemas de validação para reduzir duplicação e casts any.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Mover imagens para armazenamento de objetos e persistir somente URL/metadados.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Adicionar índices por status/data/usuarioId e paginação por cursor onde necessário.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Implantar logs estruturados, auditoria de ações administrativas, métricas e rastreamento de erros.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Remover dependências/estados não usados e alinhar labels da UI, como CSV chamado de Excel.</w:t>
            </w:r>
          </w:p>
        </w:tc>
      </w:tr>
    </w:tbl>
    <w:p>
      <w:pPr>
        <w:spacing w:after="0"/>
      </w:pPr>
    </w:p>
    <w:p>
      <w:pPr>
        <w:pStyle w:val="Heading1"/>
      </w:pPr>
      <w:r>
        <w:t>15. Rastreabilidade técnica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Tema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Fonte principal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Stack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package.json; package-lock.json; tsconfig.json; postcss.config.mjs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Arquitetura e UI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app/layout.tsx; components/layout/*; app/**/page.tsx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Autenticação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lib/auth.ts; lib/password.ts; middleware.ts; app/api/auth/*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Dados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prisma/schema.prisma; lib/prisma.ts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APIs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app/api/**/route.ts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PIX e pagamentos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lib/pix.ts; app/api/consumer/rifas/checkout/route.ts; app/api/webhooks/abacatepay/route.ts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Infra local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docker-compose.yml; README.md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Qualidade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111827"/>
                <w:sz w:val="17"/>
              </w:rPr>
              <w:t>eslint.config.mjs; scripts/*; tmp/*; prisma_error.log; verification_output_utf8.txt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7"/>
      </w:rPr>
      <w:t xml:space="preserve">Uso interno  •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GERMINATURA  |  Especificação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before="0" w:after="160"/>
    </w:pPr>
    <w:rPr>
      <w:rFonts w:ascii="Calibri" w:hAnsi="Calibri"/>
      <w:b/>
      <w:color w:val="0B2545"/>
      <w:sz w:val="54"/>
    </w:rPr>
  </w:style>
  <w:style w:type="paragraph" w:customStyle="1" w:styleId="DocSubtitle">
    <w:name w:val="Doc Subtitle"/>
    <w:pPr>
      <w:spacing w:after="360"/>
    </w:pPr>
    <w:rPr>
      <w:rFonts w:ascii="Calibri" w:hAnsi="Calibri"/>
      <w:color w:val="667085"/>
      <w:sz w:val="28"/>
    </w:rPr>
  </w:style>
  <w:style w:type="paragraph" w:customStyle="1" w:styleId="SmallNote">
    <w:name w:val="Small Note"/>
    <w:pPr>
      <w:spacing w:before="80" w:after="80"/>
    </w:pPr>
    <w:rPr>
      <w:rFonts w:ascii="Calibri" w:hAnsi="Calibri"/>
      <w:color w:val="667085"/>
      <w:sz w:val="18"/>
    </w:rPr>
  </w:style>
  <w:style w:type="character" w:customStyle="1" w:styleId="CodePath">
    <w:name w:val="Code Path"/>
    <w:rPr>
      <w:rFonts w:ascii="Consolas" w:hAnsi="Consolas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Técnica</dc:title>
  <dc:subject>Documentação da plataforma Germinatura</dc:subject>
  <dc:creator>OpenAI Codex</dc:creator>
  <cp:keywords>Germinatura, documentação, funcional,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