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FusionPulse – Übergabeprotokoll v3.3.3</w:t>
      </w:r>
    </w:p>
    <w:p>
      <w:pPr>
        <w:pStyle w:val="Heading1"/>
      </w:pPr>
      <w:r>
        <w:t>1. Produktziel</w:t>
      </w:r>
    </w:p>
    <w:p>
      <w:r>
        <w:t>Autonomer Opportunity-Wächter für liquide US-Aktien und Krypto. Qualität vor Anzahl. Elliott-Wellenanalyse bleibt bei Aktien der strukturelle Ausgangspunkt; Momentum, Volumen, Liquidität, Freshness, Crowd und Learning ergänzen oder vetoisieren, ersetzen Elliott aber nicht.</w:t>
      </w:r>
    </w:p>
    <w:p>
      <w:pPr>
        <w:pStyle w:val="Heading1"/>
      </w:pPr>
      <w:r>
        <w:t>2. Verbindliche Safety-Regeln</w:t>
      </w:r>
    </w:p>
    <w:p>
      <w:r>
        <w:t>BUY nur bei ausreichender Qualität, frischen/zulässigen Daten und Netto-CRV &gt; 3:1. Fehlende oder schlechtere Daten dürfen ein Setup niemals verbessern. Radar, BOATS, Market Gainer, Extended Hours, Crowd und Historical Twin haben kein direktes BUY-Gewicht.</w:t>
      </w:r>
    </w:p>
    <w:p>
      <w:pPr>
        <w:pStyle w:val="Heading1"/>
      </w:pPr>
      <w:r>
        <w:t>3. Aktienarchitektur</w:t>
      </w:r>
    </w:p>
    <w:p>
      <w:r>
        <w:t>Tiingo IEX Primary. Whole-Market-Radar nominiert Kandidaten; Deep Scan bleibt begrenzt und Elliott-first. ETFs/ETPs/ETNs, leveraged/inverse Produkte, Fonds, Warrants, Units, Rights und Preferreds sind aus dem normalen Aktienpfad auszuschließen. Twelve Data bleibt Fallback.</w:t>
      </w:r>
    </w:p>
    <w:p>
      <w:pPr>
        <w:pStyle w:val="Heading1"/>
      </w:pPr>
      <w:r>
        <w:t>4. Hintergrundbetrieb / Cloudflare</w:t>
      </w:r>
    </w:p>
    <w:p>
      <w:r>
        <w:t>Cron läuft serverseitig unabhängig von geöffneter PWA. Krypto-, Radar- und Deep-Scan-Jobs sind CPU-schonend getrennt. v3.3.3 zeigt D1-Learning der letzten 24 h sowie einen kompakten Ressourcenstatus. Wiederholte exceededCpu-Ereignisse sind Stabilitätswarnung; keine Tradingregeln zur Ressourcenschonung lockern.</w:t>
      </w:r>
    </w:p>
    <w:p>
      <w:pPr>
        <w:pStyle w:val="Heading1"/>
      </w:pPr>
      <w:r>
        <w:t>5. v3.3.0 Basis (in v3.3.2 enthalten)</w:t>
      </w:r>
    </w:p>
    <w:p>
      <w:r>
        <w:t>Fixer Header; Ressourcenstatus; Nacht-/Learning-Bericht; Community-first Crowd-Suche über Reddit/X/Stocktwits; Extended-Hours-Watch; Firmenname/Fokus/primäres Listing im Aktienkopf; Chart 5–300 min plus 1T/5T/1Wo/3Mo/6Mo/12Mo; Update-Banner-Quittierung.</w:t>
      </w:r>
    </w:p>
    <w:p>
      <w:pPr>
        <w:pStyle w:val="Heading1"/>
      </w:pPr>
      <w:r>
        <w:t>6. Historical Twin</w:t>
      </w:r>
    </w:p>
    <w:p>
      <w:r>
        <w:t>Seit v3.2.9 keine erzwungene Top-12-Stichprobe mehr. Nur ausreichend ähnliche, unabhängige Episoden sollen zählen; bei zu wenigen Fällen „lernt“. Twin bleibt 0 % direktes BUY-Gewicht.</w:t>
      </w:r>
    </w:p>
    <w:p>
      <w:pPr>
        <w:pStyle w:val="Heading1"/>
      </w:pPr>
      <w:r>
        <w:t>7. Noch offen</w:t>
      </w:r>
    </w:p>
    <w:p>
      <w:r>
        <w:t>Shooting/Short-Radar ist bewusst noch nicht produktiv. Er soll separat, auf dem Underlying und mit short-spezifischer Elliott-/Entry-/Stop-/CRV-Logik entstehen. Vor Aktivierung externer Audit. Learning-Bericht später um „Was wurde verpasst?“ erweitern. Liquideste Börse nur mit echten Venue-Volumendaten anzeigen.</w:t>
      </w:r>
    </w:p>
    <w:p>
      <w:pPr>
        <w:pStyle w:val="Heading1"/>
      </w:pPr>
      <w:r>
        <w:t>8. Release-/Dokumentationsregeln</w:t>
      </w:r>
    </w:p>
    <w:p>
      <w:r>
        <w:t>Nur eine RELEASE_NOTES.md und eine IMPROVEMENT_LIST.md im Projekt. Alle Versionsangaben müssen synchron sein. Neues Übergabeprotokoll bei Minor-/Major-Schritt, größerer Architekturänderung oder neuem Chat. Externer Claude/Opus-Audit vor stabiler Freigabe von v3.3.3 bzw. bei Änderungen an BUY-Gates, CRV, Datenquellen, D1-Schema oder Short-Logik.</w:t>
      </w:r>
    </w:p>
    <w:p>
      <w:pPr>
        <w:pStyle w:val="Heading1"/>
      </w:pPr>
      <w:r>
        <w:t>9. Live-Test nach Deploy</w:t>
      </w:r>
    </w:p>
    <w:p>
      <w:r>
        <w:t>Aktien/Krypto stabil; keine ETF-Leaks; Crowd zeigt Quellen oder ehrlich n.v.; Extended-Hours-Liste plausibel; längere Charts laden; Header bleibt fix; Nachtbericht zeigt D1-Aktivität; Cloudflare Logs auf exceededCpu beobachten; keine BUY-Freigabe bei geschlossenem Markt oder CRV ≤ 3:1.</w:t>
      </w:r>
    </w:p>
    <w:p>
      <w:r>
        <w:rPr>
          <w:b/>
        </w:rPr>
        <w:t>10. v3.3.1 Stabilisierung nach Live-Test</w:t>
      </w:r>
    </w:p>
    <w:p>
      <w:pPr>
        <w:pStyle w:val="ListBullet"/>
      </w:pPr>
      <w:r>
        <w:t>Opening Momentum übernimmt bevorzugt verifizierte Common-Stock-Kandidaten aus dem serverseitigen Tiingo-IEX-Whole-Market-Radar des letzten Cron-Batches; Favoriten und Basiskatalog ergänzen nur. Kein zusätzlicher schwerer Browser-Markt-Scan.</w:t>
      </w:r>
    </w:p>
    <w:p>
      <w:pPr>
        <w:pStyle w:val="ListBullet"/>
      </w:pPr>
      <w:r>
        <w:t>Aktien-Suche: helleres Feld, X zum Löschen, direkter Treffer-Preview; erfolgreicher Suchtext wird automatisch geleert, damit er nicht als versteckter Filter stehen bleibt.</w:t>
      </w:r>
    </w:p>
    <w:p>
      <w:pPr>
        <w:pStyle w:val="ListBullet"/>
      </w:pPr>
      <w:r>
        <w:t>Signal-Herkunft bleibt im Footer mit Aktie/Coin, Ticker, Signalart und Uhrzeit sichtbar und wird erst durch Quittierung entfernt.</w:t>
      </w:r>
    </w:p>
    <w:p>
      <w:pPr>
        <w:pStyle w:val="ListBullet"/>
      </w:pPr>
      <w:r>
        <w:t>Funktionalitätsampel vereinheitlicht: Grün stabil/kein Handlungsbedarf, Gelb kleine Einschränkung, Orange beobachten/zeitnah prüfen, Rot konkreter Handlungsbedarf. Krypto, Aktien, Tiingo und Cloudflare klar beschriftet.</w:t>
      </w:r>
    </w:p>
    <w:p>
      <w:pPr>
        <w:pStyle w:val="ListBullet"/>
      </w:pPr>
      <w:r>
        <w:t>Opening-/Momentum-Richtung grün/rot hervorgehoben; Google-Finance-Link bei Aktien öffnet separat.</w:t>
      </w:r>
    </w:p>
    <w:p>
      <w:pPr>
        <w:pStyle w:val="ListBullet"/>
      </w:pPr>
      <w:r>
        <w:t>BUY-Gates, Elliott-first, Netto-CRV &gt; 3:1 und die Regel, dass fehlende/schlechtere Daten nie verbessern dürfen, bleiben unverändert. Externer Claude/Opus-Audit erst nach stabilem Live-Test des v3.3.3 RC.</w:t>
      </w:r>
    </w:p>
    <w:p>
      <w:pPr/>
      <w:r>
        <w:t>11. v3.3.2 Whole-Market-Sichtbarkeit und Live-Suche</w:t>
      </w:r>
    </w:p>
    <w:p>
      <w:pPr>
        <w:pStyle w:val="ListBullet"/>
      </w:pPr>
      <w:r>
        <w:t>Whole-Market-Radar zeigt verifizierte marktweite Kandidaten auch dann, wenn sie die bisherige +2-%-Market-Gainer-Schwelle nicht erreichen. Favoriten werden mit ★ kenntlich gemacht; Radar-Discovery bleibt 0 % BUY-Gewicht.</w:t>
      </w:r>
    </w:p>
    <w:p>
      <w:pPr>
        <w:pStyle w:val="ListBullet"/>
      </w:pPr>
      <w:r>
        <w:t>Opening Momentum nutzt bei fehlendem/frischem Deep-Scan-Cache einen sicheren Fallback auf den persistenten Tiingo-IEX-Whole-Market-Radar. Nur die kleine Top-Kandidatenmenge wird über den bestehenden Security-Metadaten-Cache als Common Stock verifiziert; kein neuer schwerer Browser-/IEX-Bulk-Scan.</w:t>
      </w:r>
    </w:p>
    <w:p>
      <w:pPr>
        <w:pStyle w:val="ListBullet"/>
      </w:pPr>
      <w:r>
        <w:t>Die Auswahl „Alle Aktien“ heißt nun präziser „Alle analysierten Aktien“. Damit wird klar: Karten zeigen tief analysierte Titel; der Whole-Market-Radar daneben zeigt die breite marktweite Discovery.</w:t>
      </w:r>
    </w:p>
    <w:p>
      <w:pPr>
        <w:pStyle w:val="ListBullet"/>
      </w:pPr>
      <w:r>
        <w:t>Die Aktiensuche zeigt Treffer bereits während der Eingabe (kurzer Debounce, bis zu fünf Vorschläge). Return bzw. Klick auf einen Vorschlag lädt danach die vollständige Aktienanalyse; der Suchtext wird nach erfolgreichem Laden geleert.</w:t>
      </w:r>
    </w:p>
    <w:p>
      <w:pPr>
        <w:pStyle w:val="ListBullet"/>
      </w:pPr>
      <w:r>
        <w:t>BUY-Gates, Elliott-first, Netto-CRV &gt; 3:1, ETF-/ETP-Ausschlüsse und Fail-closed-Safety bleiben unverändert.</w:t>
      </w:r>
    </w:p>
    <w:p>
      <w:r>
        <w:t>12. v3.3.2 UX-Nachschärfung</w:t>
      </w:r>
    </w:p>
    <w:p>
      <w:r>
        <w:t>Hauptreihenfolge der Oberfläche: Aktien als erster Hauptblock; Krypto als zweiter Hauptblock. Im Krypto-Bereich erscheint zuerst die Coin-Übersicht/Tabelle und danach das große Detail-/Fokusfenster des ausgewählten Coins.</w:t>
      </w:r>
    </w:p>
    <w:p>
      <w:r>
        <w:t>Opening Momentum, Whole-Market-Radar und Extended-Hours-Watch stellen positive Bewegungs-Prozentwerte grün und negative rot dar; die jeweilige Karte ist zusätzlich dezent grün bzw. rot hinterlegt. Die Richtungscodierung ist reine UX und verändert kein BUY-Gewicht.</w:t>
      </w:r>
    </w:p>
    <w:p>
      <w:r>
        <w:t>Im großen Aktien-Detailfenster ist der direkte Button „Google Finance ↗“ prominent sichtbar und öffnet den ausgewählten Titel in einem separaten Tab/Fenster.</w:t>
      </w:r>
    </w:p>
    <w:p>
      <w:r>
        <w:t>Die Live-Aktiensuche bleibt ohne Return nutzbar; die Treffervorschau startet nun mit kürzerem Debounce. BUY-Gates, Elliott-first, Netto-CRV &gt; 3:1 und Fail-closed-Safety bleiben unverändert.</w:t>
      </w:r>
    </w:p>
    <w:p>
      <w:pPr/>
      <w:r>
        <w:t>13. v3.3.3 Radar-Pipeline, Freshness und Google Finance</w:t>
      </w:r>
    </w:p>
    <w:p>
      <w:pPr/>
      <w:r>
        <w:t>Whole-Market-Radar: Bereits als Common Stocks verifizierte Opening-Radar-Kandidaten werden als sicherer Fallback in D1 persistiert, im Radar sichtbar gemacht und dürfen den nächsten autonomen Deep Scan nominieren. Discovery bleibt 0 % BUY-Gewicht.</w:t>
      </w:r>
    </w:p>
    <w:p>
      <w:pPr/>
      <w:r>
        <w:t>Favoriten-Freshness: Der Tiingo-Deep-Scan rotiert die Favoriten zyklisch, statt dauerhaft nur die ersten zwei Favoriten zu priorisieren. Dadurch werden auch spätere Depot-/Favoritentitel regelmäßig frisch analysiert.</w:t>
      </w:r>
    </w:p>
    <w:p>
      <w:pPr/>
      <w:r>
        <w:t>Health-/Funktionalitätsampel: Erfolgreiche Whole-Market-Radar-Zyklen persistieren den Aktienstatus; erfolgreiche PWA-Krypto-Scans bestätigen den Kryptostatus. Grau bedeutet „Status noch nicht verifiziert“, Blinken „Prüfung/Aktualisierung läuft“. Tooltips erklären die Farblogik.</w:t>
      </w:r>
    </w:p>
    <w:p>
      <w:pPr/>
      <w:r>
        <w:t>Google Finance: Bei bekanntem Primary Listing öffnet der Button im großen Aktienfenster direkt den aktuell ausgewählten Ticker auf Google Finance (z. B. NASDAQ/NYSE) statt nur die allgemeine Finance-Suche.</w:t>
      </w:r>
    </w:p>
    <w:p>
      <w:pPr/>
      <w:r>
        <w:t>Live-Test-Fokus nach Deploy: Whole-Market-Radar muss Nicht-Favoriten zeigen; autonome Übernahme geeigneter Kandidaten in den Deep Scan beobachten; Aktien-Freshness über mehrere Zyklen prüfen; Ampelstatus und Tooltips prüfen. BUY-/CRV-/Elliott-/Fail-closed-Regeln bleiben unverändert.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