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FusionPulse - Übergabe v3.2.0</w:t>
      </w:r>
    </w:p>
    <w:p>
      <w:pPr>
        <w:jc w:val="center"/>
      </w:pPr>
      <w:r>
        <w:rPr>
          <w:b/>
          <w:sz w:val="22"/>
        </w:rPr>
        <w:t>Tiingo Primary + BOATS Discovery | RC-Entwicklungsstand 24.08.2026</w:t>
      </w:r>
    </w:p>
    <w:p>
      <w:pPr>
        <w:jc w:val="center"/>
      </w:pPr>
      <w:r>
        <w:t>Ausgangsbasis: produktiv getestete v3.1.8 -&gt; neue Major-Version v3.2.0</w:t>
      </w:r>
    </w:p>
    <w:p>
      <w:pPr>
        <w:pStyle w:val="Heading1"/>
      </w:pPr>
      <w:r>
        <w:t>1. Wichtigster Startpunkt im neuen Chat</w:t>
      </w:r>
    </w:p>
    <w:p>
      <w:pPr>
        <w:pStyle w:val="Callout"/>
      </w:pPr>
      <w:r>
        <w:t xml:space="preserve">Nicht auf einer älteren 3.1.x-Version weiterentwickeln. </w:t>
      </w:r>
      <w:r>
        <w:rPr>
          <w:b/>
        </w:rPr>
        <w:t>Die neue Codebasis ist ausschließlich FusionPulse_v3.2.0.zip.</w:t>
      </w:r>
    </w:p>
    <w:p>
      <w:pPr>
        <w:pStyle w:val="ListBullet"/>
      </w:pPr>
      <w:r>
        <w:t>v3.1.8 wurde live erfolgreich gegen Tiingo getestet: TOKEN, IEX, 5-MIN, VOLUMEN und BOATS waren grün.</w:t>
      </w:r>
    </w:p>
    <w:p>
      <w:pPr>
        <w:pStyle w:val="ListBullet"/>
      </w:pPr>
      <w:r>
        <w:t>v3.2.0 schaltet den Aktienpfad erstmals standardmäßig auf TIINGO_STOCKS_MODE="primary".</w:t>
      </w:r>
    </w:p>
    <w:p>
      <w:pPr>
        <w:pStyle w:val="ListBullet"/>
      </w:pPr>
      <w:r>
        <w:t>Vor produktivem Einsatz nach Deploy zuerst Plausibilitäts- und Regressionscheck durchführen; Twelve Data noch nicht löschen.</w:t>
      </w:r>
    </w:p>
    <w:p>
      <w:pPr>
        <w:pStyle w:val="ListBullet"/>
      </w:pPr>
      <w:r>
        <w:t>Keine alten Hotfixes blind erneut einbauen. Zuerst immer den tatsächlich hochgeladenen v3.2.0-Code lesen.</w:t>
      </w:r>
    </w:p>
    <w:p>
      <w:pPr>
        <w:pStyle w:val="Heading1"/>
      </w:pPr>
      <w:r>
        <w:t>2. Übergeordnetes Produktziel</w:t>
      </w:r>
    </w:p>
    <w:p>
      <w:r>
        <w:t>FusionPulse soll als autonomer Opportunity-Wächter funktionieren: PC einschalten, PWA starten und im Normalfall nur warten, bis sich bei einer wirklich interessanten Chance ein klarer Hinweis meldet. Qualität und wirtschaftliche Relevanz sind wichtiger als Signalanzahl.</w:t>
      </w:r>
    </w:p>
    <w:p>
      <w:pPr>
        <w:pStyle w:val="ListBullet"/>
      </w:pPr>
      <w:r>
        <w:t>Keine Aufmerksamkeit für formal korrekte, aber finanziell unattraktive Trades (z. B. ~10.000 EUR Einsatz und nur ~100 EUR realistisches Netto-Potenzial).</w:t>
      </w:r>
    </w:p>
    <w:p>
      <w:pPr>
        <w:pStyle w:val="ListBullet"/>
      </w:pPr>
      <w:r>
        <w:t>Wenige A-Setups mit hoher Qualität, realistischem Netto-CRV &gt; 3:1 und relevantem absolutem Gewinnpotenzial priorisieren.</w:t>
      </w:r>
    </w:p>
    <w:p>
      <w:pPr>
        <w:pStyle w:val="ListBullet"/>
      </w:pPr>
      <w:r>
        <w:t>Ein starker bereits gelaufener Move ist keine neue Opportunity, wenn Einstieg/CRV/Restweg unattraktiv geworden sind. Dann Pullback/Retest abwarten.</w:t>
      </w:r>
    </w:p>
    <w:p>
      <w:pPr>
        <w:pStyle w:val="Heading1"/>
      </w:pPr>
      <w:r>
        <w:t>3. Unveränderliche Sicherheitsregeln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>
              <w:t>Bereich</w:t>
            </w:r>
          </w:p>
        </w:tc>
        <w:tc>
          <w:tcPr>
            <w:tcW w:type="dxa" w:w="5100"/>
            <w:shd w:fill="D9EAF7"/>
            <w:vAlign w:val="center"/>
          </w:tcPr>
          <w:p>
            <w:r>
              <w:t>Stand / Vorgabe</w:t>
            </w:r>
          </w:p>
        </w:tc>
      </w:tr>
      <w:tr>
        <w:tc>
          <w:tcPr>
            <w:tcW w:type="dxa" w:w="5100"/>
            <w:vAlign w:val="top"/>
          </w:tcPr>
          <w:p>
            <w:r>
              <w:t>Datenqualität</w:t>
            </w:r>
          </w:p>
        </w:tc>
        <w:tc>
          <w:tcPr>
            <w:tcW w:type="dxa" w:w="5100"/>
            <w:vAlign w:val="top"/>
          </w:tcPr>
          <w:p>
            <w:r>
              <w:t>Fehlende, stale oder schlechtere Daten dürfen Score, BUY oder positiven Ton niemals verbessern.</w:t>
            </w:r>
          </w:p>
        </w:tc>
      </w:tr>
      <w:tr>
        <w:tc>
          <w:tcPr>
            <w:tcW w:type="dxa" w:w="5100"/>
            <w:vAlign w:val="top"/>
          </w:tcPr>
          <w:p>
            <w:r>
              <w:t>BUY</w:t>
            </w:r>
          </w:p>
        </w:tc>
        <w:tc>
          <w:tcPr>
            <w:tcW w:type="dxa" w:w="5100"/>
            <w:vAlign w:val="top"/>
          </w:tcPr>
          <w:p>
            <w:r>
              <w:t>Nur bei ausreichender Qualität, Handelbarkeit und Netto-CRV &gt; 3:1.</w:t>
            </w:r>
          </w:p>
        </w:tc>
      </w:tr>
      <w:tr>
        <w:tc>
          <w:tcPr>
            <w:tcW w:type="dxa" w:w="5100"/>
            <w:vAlign w:val="top"/>
          </w:tcPr>
          <w:p>
            <w:r>
              <w:t>WATCH</w:t>
            </w:r>
          </w:p>
        </w:tc>
        <w:tc>
          <w:tcPr>
            <w:tcW w:type="dxa" w:w="5100"/>
            <w:vAlign w:val="top"/>
          </w:tcPr>
          <w:p>
            <w:r>
              <w:t>Akustisch stumm.</w:t>
            </w:r>
          </w:p>
        </w:tc>
      </w:tr>
      <w:tr>
        <w:tc>
          <w:tcPr>
            <w:tcW w:type="dxa" w:w="5100"/>
            <w:vAlign w:val="top"/>
          </w:tcPr>
          <w:p>
            <w:r>
              <w:t>Discovery</w:t>
            </w:r>
          </w:p>
        </w:tc>
        <w:tc>
          <w:tcPr>
            <w:tcW w:type="dxa" w:w="5100"/>
            <w:vAlign w:val="top"/>
          </w:tcPr>
          <w:p>
            <w:r>
              <w:t>BOATS/Crowd/Learning/Elliott dürfen ein schlechtes Setup nicht zu BUY hochstufen.</w:t>
            </w:r>
          </w:p>
        </w:tc>
      </w:tr>
      <w:tr>
        <w:tc>
          <w:tcPr>
            <w:tcW w:type="dxa" w:w="5100"/>
            <w:vAlign w:val="top"/>
          </w:tcPr>
          <w:p>
            <w:r>
              <w:t>Secrets</w:t>
            </w:r>
          </w:p>
        </w:tc>
        <w:tc>
          <w:tcPr>
            <w:tcW w:type="dxa" w:w="5100"/>
            <w:vAlign w:val="top"/>
          </w:tcPr>
          <w:p>
            <w:r>
              <w:t>API-Keys ausschließlich serverseitig in Cloudflare; niemals Frontend/GitHub.</w:t>
            </w:r>
          </w:p>
        </w:tc>
      </w:tr>
      <w:tr>
        <w:tc>
          <w:tcPr>
            <w:tcW w:type="dxa" w:w="5100"/>
            <w:vAlign w:val="top"/>
          </w:tcPr>
          <w:p>
            <w:r>
              <w:t>Versionierung</w:t>
            </w:r>
          </w:p>
        </w:tc>
        <w:tc>
          <w:tcPr>
            <w:tcW w:type="dxa" w:w="5100"/>
            <w:vAlign w:val="top"/>
          </w:tcPr>
          <w:p>
            <w:r>
              <w:t>Sauber semantisch: 3.2.0, 3.2.1, ...; keine Suffixe wie -2.0.</w:t>
            </w:r>
          </w:p>
        </w:tc>
      </w:tr>
    </w:tbl>
    <w:p>
      <w:pPr>
        <w:pStyle w:val="Heading1"/>
      </w:pPr>
      <w:r>
        <w:t>4. Datenarchitektur v3.2.0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>
              <w:t>Bereich</w:t>
            </w:r>
          </w:p>
        </w:tc>
        <w:tc>
          <w:tcPr>
            <w:tcW w:type="dxa" w:w="5100"/>
            <w:shd w:fill="D9EAF7"/>
            <w:vAlign w:val="center"/>
          </w:tcPr>
          <w:p>
            <w:r>
              <w:t>Stand / Vorgabe</w:t>
            </w:r>
          </w:p>
        </w:tc>
      </w:tr>
      <w:tr>
        <w:tc>
          <w:tcPr>
            <w:tcW w:type="dxa" w:w="5100"/>
            <w:vAlign w:val="top"/>
          </w:tcPr>
          <w:p>
            <w:r>
              <w:t>Krypto</w:t>
            </w:r>
          </w:p>
        </w:tc>
        <w:tc>
          <w:tcPr>
            <w:tcW w:type="dxa" w:w="5100"/>
            <w:vAlign w:val="top"/>
          </w:tcPr>
          <w:p>
            <w:r>
              <w:t>Bitpanda Fusion; serverseitiger Cron; bestehende Logik unangetastet.</w:t>
            </w:r>
          </w:p>
        </w:tc>
      </w:tr>
      <w:tr>
        <w:tc>
          <w:tcPr>
            <w:tcW w:type="dxa" w:w="5100"/>
            <w:vAlign w:val="top"/>
          </w:tcPr>
          <w:p>
            <w:r>
              <w:t>Aktien Primary</w:t>
            </w:r>
          </w:p>
        </w:tc>
        <w:tc>
          <w:tcPr>
            <w:tcW w:type="dxa" w:w="5100"/>
            <w:vAlign w:val="top"/>
          </w:tcPr>
          <w:p>
            <w:r>
              <w:t>Tiingo Power / IEX 5-Minuten-Historie inkl. Volumen.</w:t>
            </w:r>
          </w:p>
        </w:tc>
      </w:tr>
      <w:tr>
        <w:tc>
          <w:tcPr>
            <w:tcW w:type="dxa" w:w="5100"/>
            <w:vAlign w:val="top"/>
          </w:tcPr>
          <w:p>
            <w:r>
              <w:t>Overnight Discovery</w:t>
            </w:r>
          </w:p>
        </w:tc>
        <w:tc>
          <w:tcPr>
            <w:tcW w:type="dxa" w:w="5100"/>
            <w:vAlign w:val="top"/>
          </w:tcPr>
          <w:p>
            <w:r>
              <w:t>Tiingo BOATS Bulk-Snapshot; nur Kandidatennominierung, 0 % BUY-Gewicht.</w:t>
            </w:r>
          </w:p>
        </w:tc>
      </w:tr>
      <w:tr>
        <w:tc>
          <w:tcPr>
            <w:tcW w:type="dxa" w:w="5100"/>
            <w:vAlign w:val="top"/>
          </w:tcPr>
          <w:p>
            <w:r>
              <w:t>Opening/Premarket</w:t>
            </w:r>
          </w:p>
        </w:tc>
        <w:tc>
          <w:tcPr>
            <w:tcW w:type="dxa" w:w="5100"/>
            <w:vAlign w:val="top"/>
          </w:tcPr>
          <w:p>
            <w:r>
              <w:t>Alpaca IEX bleibt Zusatz-/Plausibilitätsquelle.</w:t>
            </w:r>
          </w:p>
        </w:tc>
      </w:tr>
      <w:tr>
        <w:tc>
          <w:tcPr>
            <w:tcW w:type="dxa" w:w="5100"/>
            <w:vAlign w:val="top"/>
          </w:tcPr>
          <w:p>
            <w:r>
              <w:t>Fallback</w:t>
            </w:r>
          </w:p>
        </w:tc>
        <w:tc>
          <w:tcPr>
            <w:tcW w:type="dxa" w:w="5100"/>
            <w:vAlign w:val="top"/>
          </w:tcPr>
          <w:p>
            <w:r>
              <w:t>Twelve Data bleibt im Code, ist im Primary-Modus nicht Hauptfeed.</w:t>
            </w:r>
          </w:p>
        </w:tc>
      </w:tr>
      <w:tr>
        <w:tc>
          <w:tcPr>
            <w:tcW w:type="dxa" w:w="5100"/>
            <w:vAlign w:val="top"/>
          </w:tcPr>
          <w:p>
            <w:r>
              <w:t>Learning</w:t>
            </w:r>
          </w:p>
        </w:tc>
        <w:tc>
          <w:tcPr>
            <w:tcW w:type="dxa" w:w="5100"/>
            <w:vAlign w:val="top"/>
          </w:tcPr>
          <w:p>
            <w:r>
              <w:t>Cloudflare D1; Aktienhistorie akzeptiert Twelve Data + Tiingo IEX.</w:t>
            </w:r>
          </w:p>
        </w:tc>
      </w:tr>
    </w:tbl>
    <w:p>
      <w:pPr>
        <w:pStyle w:val="Heading1"/>
      </w:pPr>
      <w:r>
        <w:t>5. Neue v3.2.0-Logik</w:t>
      </w:r>
    </w:p>
    <w:p>
      <w:pPr>
        <w:pStyle w:val="ListNumber"/>
      </w:pPr>
      <w:r>
        <w:t>BOATS-Bulk-Snapshot liefert einen breiten Overnight-Discovery-Pool. Vorauswahl basiert auf ungewöhnlicher absoluter Bewegung, Aktivität und Spread. Diese Heuristik ist nur Discovery und noch nicht backgetestet.</w:t>
      </w:r>
    </w:p>
    <w:p>
      <w:pPr>
        <w:pStyle w:val="ListNumber"/>
      </w:pPr>
      <w:r>
        <w:t>Deep Scan: bis zu 5 Favoriten + bis zu 10 BOATS-Kandidaten + rotierende Basistitel; maximal 20 Titel pro 2-Minuten-Zyklus.</w:t>
      </w:r>
    </w:p>
    <w:p>
      <w:pPr>
        <w:pStyle w:val="ListNumber"/>
      </w:pPr>
      <w:r>
        <w:t>Jeder Kandidat muss danach echte Tiingo-IEX-5-Minuten-Bars durchlaufen. Erst analyseStock() erzeugt Score/Ampel/CRV.</w:t>
      </w:r>
    </w:p>
    <w:p>
      <w:pPr>
        <w:pStyle w:val="ListNumber"/>
      </w:pPr>
      <w:r>
        <w:t>Opportunity Watch prüft zusätzlich Live-Freshness, Marktphase, Score, CRV, Kursweg und absolutes Netto-Euro-Potenzial.</w:t>
      </w:r>
    </w:p>
    <w:p>
      <w:pPr>
        <w:pStyle w:val="ListNumber"/>
      </w:pPr>
      <w:r>
        <w:t>BUY bleibt hinter allen bestehenden Gates. BOATS-Discovery-Metadaten tragen explizit buyWeight: 0.</w:t>
      </w:r>
    </w:p>
    <w:p>
      <w:pPr>
        <w:pStyle w:val="Heading1"/>
      </w:pPr>
      <w:r>
        <w:t>6. Opportunity-Value / wirtschaftliche Relevanz</w:t>
      </w:r>
    </w:p>
    <w:p>
      <w:pPr>
        <w:pStyle w:val="ListBullet"/>
      </w:pPr>
      <w:r>
        <w:t>Unter ca. 200 EUR Netto-Potenzial: UNINTERESSANT.</w:t>
      </w:r>
    </w:p>
    <w:p>
      <w:pPr>
        <w:pStyle w:val="ListBullet"/>
      </w:pPr>
      <w:r>
        <w:t>Ab ca. 350 EUR bei vollständigen Gates: OPPORTUNITY.</w:t>
      </w:r>
    </w:p>
    <w:p>
      <w:pPr>
        <w:pStyle w:val="ListBullet"/>
      </w:pPr>
      <w:r>
        <w:t>Ab ca. 500 EUR bei vollständigen Gates: HIGH OPPORTUNITY.</w:t>
      </w:r>
    </w:p>
    <w:p>
      <w:pPr>
        <w:pStyle w:val="ListBullet"/>
      </w:pPr>
      <w:r>
        <w:t>Diese Werte sind Selektions-/Rankinghilfen, keine garantierte Erfolgswahrscheinlichkeit. Später anhand realer Outcomes kalibrieren.</w:t>
      </w:r>
    </w:p>
    <w:p>
      <w:pPr>
        <w:pStyle w:val="Heading1"/>
      </w:pPr>
      <w:r>
        <w:t>7. UI- und VL-Stand</w:t>
      </w:r>
    </w:p>
    <w:p>
      <w:pPr>
        <w:pStyle w:val="ListBullet"/>
      </w:pPr>
      <w:r>
        <w:t>Favoriten/Aktienkarten frei neu anordnen; Reihenfolge persistent.</w:t>
      </w:r>
    </w:p>
    <w:p>
      <w:pPr>
        <w:pStyle w:val="ListBullet"/>
      </w:pPr>
      <w:r>
        <w:t>Klick auf Aktie in unterer Liste öffnet das große Aktienfenster.</w:t>
      </w:r>
    </w:p>
    <w:p>
      <w:pPr>
        <w:pStyle w:val="ListBullet"/>
      </w:pPr>
      <w:r>
        <w:t>Intraday-Kurschart im großen Aktien- und Coin-Detailfenster.</w:t>
      </w:r>
    </w:p>
    <w:p>
      <w:pPr>
        <w:pStyle w:val="ListBullet"/>
      </w:pPr>
      <w:r>
        <w:t>Bei Aktien EUR primär, originaler USD-Kurs direkt in Klammern.</w:t>
      </w:r>
    </w:p>
    <w:p>
      <w:pPr>
        <w:pStyle w:val="ListBullet"/>
      </w:pPr>
      <w:r>
        <w:t>Permanenter SIGNAL-INFO-Banner unten.</w:t>
      </w:r>
    </w:p>
    <w:p>
      <w:pPr>
        <w:pStyle w:val="ListBullet"/>
      </w:pPr>
      <w:r>
        <w:t>Kompakte Statussymbole oben; schnelle Tooltips bei Risk-On/Off, Timer und Statussymbolen.</w:t>
      </w:r>
    </w:p>
    <w:p>
      <w:pPr>
        <w:pStyle w:val="ListBullet"/>
      </w:pPr>
      <w:r>
        <w:t>Zonenlage Tooltip erklärt UNTER / IN / ÜBER ZONE laienverständlich.</w:t>
      </w:r>
    </w:p>
    <w:p>
      <w:pPr>
        <w:pStyle w:val="ListBullet"/>
      </w:pPr>
      <w:r>
        <w:t>Pullback Tooltip erklärt Bedeutung und dass Pullback allein kein Kaufsignal ist.</w:t>
      </w:r>
    </w:p>
    <w:p>
      <w:pPr>
        <w:pStyle w:val="ListBullet"/>
      </w:pPr>
      <w:r>
        <w:t>Freshness/Datenherkunft klar: live, cached, stale, n.v.; stale darf keinen positiven Ton auslösen.</w:t>
      </w:r>
    </w:p>
    <w:p>
      <w:pPr>
        <w:pStyle w:val="ListBullet"/>
      </w:pPr>
      <w:r>
        <w:t>Opportunity-Anzeige erklärt, warum ein Titel noch keine Opportunity ist.</w:t>
      </w:r>
    </w:p>
    <w:p>
      <w:pPr>
        <w:pStyle w:val="Heading1"/>
      </w:pPr>
      <w:r>
        <w:t>8. Offene Beobachtungs- und Optimierungspunkte</w:t>
      </w:r>
    </w:p>
    <w:p>
      <w:pPr>
        <w:pStyle w:val="ListBullet"/>
      </w:pPr>
      <w:r>
        <w:t>BOATS-Discovery im realen Overnight-Betrieb kalibrieren: Runner früh erkennen, Penny-/Illiquiditäts-Ausreißer begrenzen.</w:t>
      </w:r>
    </w:p>
    <w:p>
      <w:pPr>
        <w:pStyle w:val="ListBullet"/>
      </w:pPr>
      <w:r>
        <w:t>Premarket-Sequenz 04:00-09:30 ET sauber an BOATS-Overnight anschließen; Overnight-Auffälligkeit nie blind als aktuelle Bestätigung behandeln.</w:t>
      </w:r>
    </w:p>
    <w:p>
      <w:pPr>
        <w:pStyle w:val="ListBullet"/>
      </w:pPr>
      <w:r>
        <w:t>Session-Learning BOATS -&gt; Premarket -&gt; Opening mit Zeitabständen in D1 explizit speichern.</w:t>
      </w:r>
    </w:p>
    <w:p>
      <w:pPr>
        <w:pStyle w:val="ListBullet"/>
      </w:pPr>
      <w:r>
        <w:t>Opportunity-Value anhand echter Outcomes kalibrieren; Ziel: weniger, aber finanziell relevantere Signale.</w:t>
      </w:r>
    </w:p>
    <w:p>
      <w:pPr>
        <w:pStyle w:val="ListBullet"/>
      </w:pPr>
      <w:r>
        <w:t>Tiingo Search ist laut Tiingo noch Beta; lokalem Katalog weiterhin Vorrang geben und Suchpfad beobachten.</w:t>
      </w:r>
    </w:p>
    <w:p>
      <w:pPr>
        <w:pStyle w:val="ListBullet"/>
      </w:pPr>
      <w:r>
        <w:t>BOATS REST-Bulk kann sehr große Antworten liefern; Worker-Speicher/Latenz im Livebetrieb beobachten. Kein WebSocket in v3.2.0.</w:t>
      </w:r>
    </w:p>
    <w:p>
      <w:pPr>
        <w:pStyle w:val="ListBullet"/>
      </w:pPr>
      <w:r>
        <w:t>NYSE Half-Days/Sonderzeiten weiter härten.</w:t>
      </w:r>
    </w:p>
    <w:p>
      <w:pPr>
        <w:pStyle w:val="ListBullet"/>
      </w:pPr>
      <w:r>
        <w:t>Twelve Data erst nach mehreren stabilen Tiingo-Sessions reduzieren/entfernen.</w:t>
      </w:r>
    </w:p>
    <w:p>
      <w:pPr>
        <w:pStyle w:val="Heading1"/>
      </w:pPr>
      <w:r>
        <w:t>9. Tests / Audit-Status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>
              <w:t>Bereich</w:t>
            </w:r>
          </w:p>
        </w:tc>
        <w:tc>
          <w:tcPr>
            <w:tcW w:type="dxa" w:w="5100"/>
            <w:shd w:fill="D9EAF7"/>
            <w:vAlign w:val="center"/>
          </w:tcPr>
          <w:p>
            <w:r>
              <w:t>Stand / Vorgabe</w:t>
            </w:r>
          </w:p>
        </w:tc>
      </w:tr>
      <w:tr>
        <w:tc>
          <w:tcPr>
            <w:tcW w:type="dxa" w:w="5100"/>
            <w:vAlign w:val="top"/>
          </w:tcPr>
          <w:p>
            <w:r>
              <w:t>Syntax</w:t>
            </w:r>
          </w:p>
        </w:tc>
        <w:tc>
          <w:tcPr>
            <w:tcW w:type="dxa" w:w="5100"/>
            <w:vAlign w:val="top"/>
          </w:tcPr>
          <w:p>
            <w:r>
              <w:t>public/app.js, src/worker.js, public/sw.js: OK</w:t>
            </w:r>
          </w:p>
        </w:tc>
      </w:tr>
      <w:tr>
        <w:tc>
          <w:tcPr>
            <w:tcW w:type="dxa" w:w="5100"/>
            <w:vAlign w:val="top"/>
          </w:tcPr>
          <w:p>
            <w:r>
              <w:t>Safety Suite</w:t>
            </w:r>
          </w:p>
        </w:tc>
        <w:tc>
          <w:tcPr>
            <w:tcW w:type="dxa" w:w="5100"/>
            <w:vAlign w:val="top"/>
          </w:tcPr>
          <w:p>
            <w:r>
              <w:t>npm run test:safety: OK; zusätzliche v3.2.0-Guards für Primary/BOATS/0%-BUY-Gewicht.</w:t>
            </w:r>
          </w:p>
        </w:tc>
      </w:tr>
      <w:tr>
        <w:tc>
          <w:tcPr>
            <w:tcW w:type="dxa" w:w="5100"/>
            <w:vAlign w:val="top"/>
          </w:tcPr>
          <w:p>
            <w:r>
              <w:t>Worker Import</w:t>
            </w:r>
          </w:p>
        </w:tc>
        <w:tc>
          <w:tcPr>
            <w:tcW w:type="dxa" w:w="5100"/>
            <w:vAlign w:val="top"/>
          </w:tcPr>
          <w:p>
            <w:r>
              <w:t>OK</w:t>
            </w:r>
          </w:p>
        </w:tc>
      </w:tr>
      <w:tr>
        <w:tc>
          <w:tcPr>
            <w:tcW w:type="dxa" w:w="5100"/>
            <w:vAlign w:val="top"/>
          </w:tcPr>
          <w:p>
            <w:r>
              <w:t>Claude Audit</w:t>
            </w:r>
          </w:p>
        </w:tc>
        <w:tc>
          <w:tcPr>
            <w:tcW w:type="dxa" w:w="5100"/>
            <w:vAlign w:val="top"/>
          </w:tcPr>
          <w:p>
            <w:r>
              <w:t>P0 aus v3.1.0-Audit behoben; Auditdatei liegt im Projekt. Claude-Credits waren zuletzt ausgeschöpft.</w:t>
            </w:r>
          </w:p>
        </w:tc>
      </w:tr>
      <w:tr>
        <w:tc>
          <w:tcPr>
            <w:tcW w:type="dxa" w:w="5100"/>
            <w:vAlign w:val="top"/>
          </w:tcPr>
          <w:p>
            <w:r>
              <w:t>Live Tiingo Test</w:t>
            </w:r>
          </w:p>
        </w:tc>
        <w:tc>
          <w:tcPr>
            <w:tcW w:type="dxa" w:w="5100"/>
            <w:vAlign w:val="top"/>
          </w:tcPr>
          <w:p>
            <w:r>
              <w:t>v3.1.8: Token, IEX, 5-Min, Volumen, BOATS erfolgreich; AAPL lieferte aktuelle Bars.</w:t>
            </w:r>
          </w:p>
        </w:tc>
      </w:tr>
    </w:tbl>
    <w:p>
      <w:pPr>
        <w:pStyle w:val="Heading1"/>
      </w:pPr>
      <w:r>
        <w:t>10. Deployment-Plan für den neuen Chat</w:t>
      </w:r>
    </w:p>
    <w:p>
      <w:r>
        <w:rPr>
          <w:b/>
        </w:rPr>
        <w:t xml:space="preserve">1. </w:t>
      </w:r>
      <w:r>
        <w:t>FusionPulse_v3.2.0.zip vollständig einlesen und gegen die Übergabe prüfen.</w:t>
      </w:r>
    </w:p>
    <w:p>
      <w:r>
        <w:rPr>
          <w:b/>
        </w:rPr>
        <w:t xml:space="preserve">2. </w:t>
      </w:r>
      <w:r>
        <w:t>Vor Deploy package.json = 3.2.0 und wrangler.jsonc TIINGO_STOCKS_MODE = primary verifizieren.</w:t>
      </w:r>
    </w:p>
    <w:p>
      <w:r>
        <w:rPr>
          <w:b/>
        </w:rPr>
        <w:t xml:space="preserve">3. </w:t>
      </w:r>
      <w:r>
        <w:t>Cloudflare-Secret TIINGO_API_TOKEN muss bestehen bleiben. Zusätzlich angelegtes TIINGO_BOATS_TOKEN ist nicht erforderlich, wenn identischer Token; Code verwendet es nicht.</w:t>
      </w:r>
    </w:p>
    <w:p>
      <w:r>
        <w:rPr>
          <w:b/>
        </w:rPr>
        <w:t xml:space="preserve">4. </w:t>
      </w:r>
      <w:r>
        <w:t>Deploy durchführen und prüfen: /api/health, Aktienfeed-Status, Freshness, BOATS-Kandidaten, Suche, Favoriten, Detailfenster, Signalbanner.</w:t>
      </w:r>
    </w:p>
    <w:p>
      <w:r>
        <w:rPr>
          <w:b/>
        </w:rPr>
        <w:t xml:space="preserve">5. </w:t>
      </w:r>
      <w:r>
        <w:t>Im ersten echten Premarket/Opening besonders beobachten, ob Tiingo-IEX-Bars aktuell/ausreichend sind und ob Alpaca-Zusatzdaten plausibel bleiben.</w:t>
      </w:r>
    </w:p>
    <w:p>
      <w:r>
        <w:rPr>
          <w:b/>
        </w:rPr>
        <w:t xml:space="preserve">6. </w:t>
      </w:r>
      <w:r>
        <w:t>Bei Problemen zuerst Fallback/Primary diagnostizieren; nicht Trading-Schwellenwerte lockern.</w:t>
      </w:r>
    </w:p>
    <w:p>
      <w:r>
        <w:rPr>
          <w:b/>
        </w:rPr>
        <w:t xml:space="preserve">7. </w:t>
      </w:r>
      <w:r>
        <w:t>Erst nach stabilen Sessions nächste Patch-Version 3.2.1 usw. erstellen.</w:t>
      </w:r>
    </w:p>
    <w:p>
      <w:pPr>
        <w:pStyle w:val="Heading1"/>
      </w:pPr>
      <w:r>
        <w:t>11. Dateien für den neuen Chat</w:t>
      </w:r>
    </w:p>
    <w:p>
      <w:pPr>
        <w:pStyle w:val="ListBullet"/>
      </w:pPr>
      <w:r>
        <w:t>FusionPulse_v3.2.0.zip - einzige Codebasis.</w:t>
      </w:r>
    </w:p>
    <w:p>
      <w:pPr>
        <w:pStyle w:val="ListBullet"/>
      </w:pPr>
      <w:r>
        <w:t>FusionPulse_UEBERGABE_v3.2.0.docx - dieses Übergabeprotokoll.</w:t>
      </w:r>
    </w:p>
    <w:p>
      <w:pPr>
        <w:pStyle w:val="ListBullet"/>
      </w:pPr>
      <w:r>
        <w:t>Im ZIP: RELEASE_NOTES_v3.2.0.md, IMPROVEMENT_LIST_v3.2.0.md sowie frühere Audit-/Release-Unterlagen als Historie.</w:t>
      </w:r>
    </w:p>
    <w:p>
      <w:pPr>
        <w:jc w:val="center"/>
      </w:pPr>
      <w:r>
        <w:rPr>
          <w:b/>
        </w:rPr>
        <w:t>Ziel: breites autonomes US-Discovery + belastbarer Deep Scan + wenige wirtschaftlich relevante Signale - ohne Sicherheitsregeln zu verwässern.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rial" w:hAnsi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