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v3.3.7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v3.3.7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v3.3.7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v3.3.7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v3.3.7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p>
      <w:pPr>
        <w:pStyle w:val="Heading1"/>
      </w:pPr>
      <w:r>
        <w:t>10. v3.3.7 – Radar → Deep Scan / Discovery-Klick</w:t>
      </w:r>
    </w:p>
    <w:p>
      <w:pPr>
        <w:pStyle w:val="ListBullet"/>
      </w:pPr>
      <w:r>
        <w:t>Whole-Market-/Opening-Radar-Kandidaten werden im autonomen Deep Scan vor alten Cache-Rechecks priorisiert. Favoriten bleiben priorisiert, dürfen den Marktpool aber nicht exklusiv bestimmen.</w:t>
      </w:r>
    </w:p>
    <w:p>
      <w:pPr>
        <w:pStyle w:val="ListBullet"/>
      </w:pPr>
      <w:r>
        <w:t>Bereits erfolgreich tief analysierte Nicht-Favoriten bleiben sichtbar, solange sie im aktuell verifizierten Discovery-Pool bestätigt sind. Alte oder nicht mehr verifizierte Discovery-Titel werden weiterhin fail-closed entfernt.</w:t>
      </w:r>
    </w:p>
    <w:p>
      <w:pPr>
        <w:pStyle w:val="ListBullet"/>
      </w:pPr>
      <w:r>
        <w:t>Klick auf Whole-Market Radar, Opening Momentum oder Extended-Hours lädt eine noch nicht analysierte Aktie gezielt über die bestehende Einzelaktien-Analyse und öffnet sie danach im großen Aktienfenster.</w:t>
      </w:r>
    </w:p>
    <w:p>
      <w:pPr>
        <w:pStyle w:val="ListBullet"/>
      </w:pPr>
      <w:r>
        <w:t>Discovery bleibt 0 % BUY-Gewicht. Elliott-first, Netto-CRV &gt; 3:1, Freshness- und Common-Stock-Gates bleiben unverändert.</w:t>
      </w:r>
    </w:p>
    <w:p>
      <w:pPr>
        <w:pStyle w:val="Heading1"/>
      </w:pPr>
      <w:r>
        <w:t>11. Live-Test v3.3.7</w:t>
      </w:r>
    </w:p>
    <w:p>
      <w:pPr>
        <w:pStyle w:val="ListBullet"/>
      </w:pPr>
      <w:r>
        <w:t>Whole-Market Radar zeigt Nicht-Favoriten und diese werden über mehrere Deep-Scan-Zyklen automatisch in „Alle analysierten Aktien“ übernommen, sofern genügend Tiingo-Historie für eine tiefe Analyse vorhanden ist.</w:t>
      </w:r>
    </w:p>
    <w:p>
      <w:pPr>
        <w:pStyle w:val="ListBullet"/>
      </w:pPr>
      <w:r>
        <w:t>Klick auf einen Radar-/Opening-/Extended-Hours-Titel öffnet nach erfolgreicher Einzelanalyse direkt das große Aktienfenster; kein vorheriges manuelles Suchen erforderlich.</w:t>
      </w:r>
    </w:p>
    <w:p>
      <w:pPr>
        <w:pStyle w:val="ListBullet"/>
      </w:pPr>
      <w:r>
        <w:t>Cloudflare Logs auf exceededCpu beobachten; die stärkere Radar-Priorisierung darf keine CPU-Regressions verursachen.</w:t>
      </w:r>
    </w:p>
    <w:p>
      <w:pPr>
        <w:pStyle w:val="ListBullet"/>
      </w:pPr>
      <w:r>
        <w:t>Keine BUY-Freigabe allein aufgrund von Radar/Opening/Extended Hours.</w:t>
      </w:r>
    </w:p>
    <w:p>
      <w:r>
        <w:rPr>
          <w:b/>
        </w:rPr>
        <w:t>10. v3.3.7 – P0 Connection-Watchdog</w:t>
      </w:r>
    </w:p>
    <w:p>
      <w:r>
        <w:t>Zentrale PWA-Requests besitzen nun harte Timeouts. Ein festhängender Krypto-, Aktien-, Opening- oder Health-Abruf soll die Oberfläche nicht mehr dauerhaft auf „Verbinde…“ blockieren.</w:t>
      </w:r>
    </w:p>
    <w:p>
      <w:r>
        <w:t>Ein Connection-Watchdog erkennt einen hängenden bzw. zu alten Krypto-Scan, bricht den Request ab, setzt den lokalen Scan-Zustand zurück und stößt selbstständig einen neuen Abruf plus Health-Check an. Währenddessen zeigt die Oberfläche ausdrücklich „Verbindung wird wiederhergestellt“.</w:t>
      </w:r>
    </w:p>
    <w:p>
      <w:r>
        <w:t>Die Änderung erhöht weder die Scanlast noch lockert sie BUY-, CRV-, Freshness-, Elliott- oder Common-Stock-Safety-Regeln. Nach Deploy Langzeittest &gt; 1 h durchführen und Cloudflare-Logs weiter auf exceededCpu bzw. 429/5xx beobachten.</w:t>
      </w:r>
    </w:p>
    <w:p>
      <w:r>
        <w:t>Noch offen/VL: Aktienchart um echte Premarket-/After-Hours-Zeitreihe, Previous-Close-Referenz und Gap-% erweitern; Sessions optisch unterscheiden und keine künstliche Verbindungslinie über Datenlücken zeichnen.</w:t>
      </w:r>
    </w:p>
    <w:p>
      <w:r>
        <w:rPr>
          <w:b/>
        </w:rPr>
        <w:t>10. v3.3.7 P0 Feed-Isolation Hotfix</w:t>
      </w:r>
    </w:p>
    <w:p>
      <w:pPr>
        <w:pStyle w:val="ListBullet"/>
      </w:pPr>
      <w:r>
        <w:t>Bitpanda/Fusion-Upstream-Aufrufe besitzen nun einen Worker-seitigen harten Timeout von 5,5 Sekunden. Ein einzelner langsamer externer Feed darf den gesamten PWA-Scan nicht mehr bis zum Browser-Timeout blockieren.</w:t>
      </w:r>
    </w:p>
    <w:p>
      <w:pPr>
        <w:pStyle w:val="ListBullet"/>
      </w:pPr>
      <w:r>
        <w:t>Bei einem laufenden oder fehlgeschlagenen Krypto-Refresh liefert der Worker, sofern vorhanden, sofort den letzten guten Snapshot als stale/staleWhileRefresh. Die Oberfläche bleibt damit bedienbar und kennzeichnet den Zustand ausdrücklich als veraltet bzw. Reconnect.</w:t>
      </w:r>
    </w:p>
    <w:p>
      <w:pPr>
        <w:pStyle w:val="ListBullet"/>
      </w:pPr>
      <w:r>
        <w:t>Ein manueller Force-Refresh wartet nicht mehr auf ein altes Inflight-Promise. Der Browser-Timeout wurde auf 12 Sekunden reduziert.</w:t>
      </w:r>
    </w:p>
    <w:p>
      <w:pPr>
        <w:pStyle w:val="ListBullet"/>
      </w:pPr>
      <w:r>
        <w:t>Safety unverändert: veraltete Daten dürfen keine frische BUY-Freigabe erzeugen. Elliott-first, Netto-CRV &gt; 3:1 und die übrigen verbindlichen Gates bleiben unverändert.</w:t>
      </w:r>
    </w:p>
    <w:p>
      <w:pPr>
        <w:pStyle w:val="ListBullet"/>
      </w:pPr>
      <w:r>
        <w:t>Live-Test: nach Deploy Krypto- und Aktienfeed getrennt beobachten, mindestens über mehrere 5-Minuten-Zyklen. Bei Upstream-Störung muss letzter guter Stand sichtbar bleiben; Reconnect darf die Aktienpipeline nicht blockieren.</w:t>
      </w:r>
    </w:p>
    <w:p>
      <w:pPr>
        <w:pStyle w:val="Heading1"/>
      </w:pPr>
      <w:r>
        <w:t>v3.3.7 P0 Quote-/Freshness-Hotfix</w:t>
      </w:r>
    </w:p>
    <w:p>
      <w:pPr>
        <w:pStyle w:val="ListBullet"/>
      </w:pPr>
      <w:r>
        <w:t>Ausgewählte Radar-Aktien laden zusätzlich zur Deep-Scan-Analyse einen möglichst frischen Referenzquote. Quelle, Feed-Scope, Abfragezeit und Alter werden im großen Aktienfenster sichtbar ausgewiesen.</w:t>
      </w:r>
    </w:p>
    <w:p>
      <w:pPr>
        <w:pStyle w:val="ListBullet"/>
      </w:pPr>
      <w:r>
        <w:t>Beim Klick auf Whole-Market Radar, Opening Momentum oder Extended Hours wird das große Detailfenster sofort in den sichtbaren Bereich positioniert und eindeutig als ausgewählte Aktie mit Ticker/Name gekennzeichnet.</w:t>
      </w:r>
    </w:p>
    <w:p>
      <w:pPr>
        <w:pStyle w:val="ListBullet"/>
      </w:pPr>
      <w:r>
        <w:t>Analysepreis und aktueller Referenzquote werden nicht mehr stillschweigend gleichgesetzt. Bei fehlender oder veralteter Quote-Freshness wird dies sichtbar gekennzeichnet; fehlende Freshness darf ein Setup nicht verbessern.</w:t>
      </w:r>
    </w:p>
    <w:p>
      <w:pPr>
        <w:pStyle w:val="ListBullet"/>
      </w:pPr>
      <w:r>
        <w:t>Krypto-Health wird zusätzlich an die tatsächliche Datenfreshness gekoppelt. Eine erreichbare API bzw. ein erreichbarer Worker allein reicht nicht mehr für Grün; der letzte bestätigte Kryptodatensatz muss höchstens 90 Sekunden alt sein.</w:t>
      </w:r>
    </w:p>
    <w:p>
      <w:pPr>
        <w:pStyle w:val="ListBullet"/>
      </w:pPr>
      <w:r>
        <w:t>Unverändert: Elliott-first, Netto-CRV &gt; 3:1, Common-Stock-Gates, Discovery/Crowd 0 % BUY-Gewicht und Fail-closed-Safety.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