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Respecto de la evaluación de la Parte A, mejora la consistencia de Productos_catalogo y Promociones por la unificación de categorías. La consistencia del presupuesto baja de rojo a amarillo porque el negocio explicó las celdas en cero y negativas y se excluyen del análisis; sigue abierta la uniformidad del cumplimiento. Con las respuestas del negocio empeora la trazabilidad de Historial_Precios_SKU, que resultó ser una reconstrucción y no un registro, y la de Productos_catalogo, cuyo costo unitario no tiene definición documentada.</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En origen: registrar la devolución como movimiento propio, separando la devolución a proveedor (movimiento de inventario) de la de cliente, y agregar un control que impida descontar stock todavía no cargado.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sz w:val="21"/>
          <w:szCs w:val="21"/>
        </w:rPr>
        <w:t xml:space="preserve">El dashboard (Dashboard-Calidad-Antes-Despues.html, generado por EDA/antes_despues.py) calcula cada métrica dos veces. Antes: los datasets crudos, tal como los entrega Casa Óga, con el cálculo que haría un análisis sin revisión de calidad (se suman las claves duplicadas, se conservan los negativos, los SKUs sin costo valen cero y las categorías se usan como vienen). Después: los datasets normalizados con los criterios del plan de mejora de la sección 1.2.</w:t>
      </w:r>
    </w:p>
    <w:p>
      <w:pPr>
        <w:spacing w:after="110" w:line="276"/>
        <w:jc w:val="both"/>
      </w:pPr>
      <w:r>
        <w:rPr>
          <w:sz w:val="21"/>
          <w:szCs w:val="21"/>
        </w:rPr>
        <w:t xml:space="preserve"/>
      </w:r>
      <w:r>
        <w:drawing>
          <wp:inline xmlns:a="http://schemas.openxmlformats.org/drawingml/2006/main" xmlns:pic="http://schemas.openxmlformats.org/drawingml/2006/picture">
            <wp:extent cx="5760000" cy="3770182"/>
            <wp:docPr id="1" name="Picture 1"/>
            <wp:cNvGraphicFramePr>
              <a:graphicFrameLocks noChangeAspect="1"/>
            </wp:cNvGraphicFramePr>
            <a:graphic>
              <a:graphicData uri="http://schemas.openxmlformats.org/drawingml/2006/picture">
                <pic:pic>
                  <pic:nvPicPr>
                    <pic:cNvPr id="0" name="13_antes_despues.png"/>
                    <pic:cNvPicPr/>
                  </pic:nvPicPr>
                  <pic:blipFill>
                    <a:blip r:embed="rId10"/>
                    <a:stretch>
                      <a:fillRect/>
                    </a:stretch>
                  </pic:blipFill>
                  <pic:spPr>
                    <a:xfrm>
                      <a:off x="0" y="0"/>
                      <a:ext cx="5760000" cy="3770182"/>
                    </a:xfrm>
                    <a:prstGeom prst="rect"/>
                  </pic:spPr>
                </pic:pic>
              </a:graphicData>
            </a:graphic>
          </wp:inline>
        </w:drawing>
      </w:r>
    </w:p>
    <w:p>
      <w:pPr>
        <w:spacing w:after="110" w:line="276"/>
        <w:jc w:val="both"/>
      </w:pPr>
      <w:r>
        <w:rPr>
          <w:color w:val="595959"/>
          <w:sz w:val="18"/>
          <w:szCs w:val="18"/>
        </w:rPr>
        <w:t xml:space="preserve">Figura 1.3 · Venta anual, capital inmovilizado y venta por categoría, antes y después de la corrección.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color w:val="000000"/>
                <w:sz w:val="15"/>
                <w:szCs w:val="15"/>
              </w:rPr>
              <w:t xml:space="preserve">Registros de venta (mes · tienda · SKU)</w:t>
            </w:r>
          </w:p>
        </w:tc>
        <w:tc>
          <w:tcPr>
            <w:tcW w:type="dxa" w:w="2200"/>
            <w:tcMar>
              <w:top w:type="dxa" w:w="50"/>
              <w:left w:type="dxa" w:w="80"/>
              <w:bottom w:type="dxa" w:w="50"/>
              <w:right w:type="dxa" w:w="80"/>
            </w:tcMar>
          </w:tcPr>
          <w:p>
            <w:pPr>
              <w:spacing w:line="240"/>
              <w:jc w:val="left"/>
            </w:pPr>
            <w:r>
              <w:rPr>
                <w:color w:val="000000"/>
                <w:sz w:val="15"/>
                <w:szCs w:val="15"/>
              </w:rPr>
              <w:t xml:space="preserve">299.400</w:t>
            </w:r>
          </w:p>
        </w:tc>
        <w:tc>
          <w:tcPr>
            <w:tcW w:type="dxa" w:w="2200"/>
            <w:tcMar>
              <w:top w:type="dxa" w:w="50"/>
              <w:left w:type="dxa" w:w="80"/>
              <w:bottom w:type="dxa" w:w="50"/>
              <w:right w:type="dxa" w:w="80"/>
            </w:tcMar>
          </w:tcPr>
          <w:p>
            <w:pPr>
              <w:spacing w:line="240"/>
              <w:jc w:val="left"/>
            </w:pPr>
            <w:r>
              <w:rPr>
                <w:color w:val="000000"/>
                <w:sz w:val="15"/>
                <w:szCs w:val="15"/>
              </w:rPr>
              <w:t xml:space="preserve">297.022</w:t>
            </w:r>
          </w:p>
        </w:tc>
        <w:tc>
          <w:tcPr>
            <w:tcW w:type="dxa" w:w="2200"/>
            <w:tcMar>
              <w:top w:type="dxa" w:w="50"/>
              <w:left w:type="dxa" w:w="80"/>
              <w:bottom w:type="dxa" w:w="50"/>
              <w:right w:type="dxa" w:w="80"/>
            </w:tcMar>
          </w:tcPr>
          <w:p>
            <w:pPr>
              <w:spacing w:line="240"/>
              <w:jc w:val="left"/>
            </w:pPr>
            <w:r>
              <w:rPr>
                <w:color w:val="000000"/>
                <w:sz w:val="15"/>
                <w:szCs w:val="15"/>
              </w:rPr>
              <w:t xml:space="preserve">Las 2.378 claves duplicadas (H1) se reducen a un registro por clave. Sin corregir, cada posición de los 15 SKUs duplicados cuenta dos veces en ventas y en stock.</w:t>
            </w:r>
          </w:p>
        </w:tc>
      </w:tr>
      <w:tr>
        <w:tc>
          <w:tcPr>
            <w:tcW w:type="dxa" w:w="2400"/>
            <w:shd w:fill="F2F2F2" w:color="auto" w:val="clear"/>
            <w:tcMar>
              <w:top w:type="dxa" w:w="50"/>
              <w:left w:type="dxa" w:w="80"/>
              <w:bottom w:type="dxa" w:w="50"/>
              <w:right w:type="dxa" w:w="80"/>
            </w:tcMar>
          </w:tcPr>
          <w:p>
            <w:pPr>
              <w:spacing w:line="240"/>
              <w:jc w:val="left"/>
            </w:pPr>
            <w:r>
              <w:rPr>
                <w:color w:val="000000"/>
                <w:sz w:val="15"/>
                <w:szCs w:val="15"/>
              </w:rPr>
              <w:t xml:space="preserve">Venta total ene-2022 a ago-2026 · unidades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$40.314,3 M · 930.410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$40.083,4 M · 925.015</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−0,6%. Los duplicados inflan la venta; las devoluciones quedan neteadas contra la venta del mismo mes. El impacto en el total es bajo, pero se concentra en los 15 SKUs duplicados.</w:t>
            </w:r>
          </w:p>
        </w:tc>
      </w:tr>
      <w:tr>
        <w:tc>
          <w:tcPr>
            <w:tcW w:type="dxa" w:w="2400"/>
            <w:tcMar>
              <w:top w:type="dxa" w:w="50"/>
              <w:left w:type="dxa" w:w="80"/>
              <w:bottom w:type="dxa" w:w="50"/>
              <w:right w:type="dxa" w:w="80"/>
            </w:tcMar>
          </w:tcPr>
          <w:p>
            <w:pPr>
              <w:spacing w:line="240"/>
              <w:jc w:val="left"/>
            </w:pPr>
            <w:r>
              <w:rPr>
                <w:color w:val="000000"/>
                <w:sz w:val="15"/>
                <w:szCs w:val="15"/>
              </w:rPr>
              <w:t xml:space="preserve">Filas con stock disponible negativo</w:t>
            </w:r>
          </w:p>
        </w:tc>
        <w:tc>
          <w:tcPr>
            <w:tcW w:type="dxa" w:w="2200"/>
            <w:tcMar>
              <w:top w:type="dxa" w:w="50"/>
              <w:left w:type="dxa" w:w="80"/>
              <w:bottom w:type="dxa" w:w="50"/>
              <w:right w:type="dxa" w:w="80"/>
            </w:tcMar>
          </w:tcPr>
          <w:p>
            <w:pPr>
              <w:spacing w:line="240"/>
              <w:jc w:val="left"/>
            </w:pPr>
            <w:r>
              <w:rPr>
                <w:color w:val="000000"/>
                <w:sz w:val="15"/>
                <w:szCs w:val="15"/>
              </w:rPr>
              <w:t xml:space="preserve">1.209</w:t>
            </w:r>
          </w:p>
        </w:tc>
        <w:tc>
          <w:tcPr>
            <w:tcW w:type="dxa" w:w="2200"/>
            <w:tcMar>
              <w:top w:type="dxa" w:w="50"/>
              <w:left w:type="dxa" w:w="80"/>
              <w:bottom w:type="dxa" w:w="50"/>
              <w:right w:type="dxa" w:w="80"/>
            </w:tcMar>
          </w:tcPr>
          <w:p>
            <w:pPr>
              <w:spacing w:line="240"/>
              <w:jc w:val="left"/>
            </w:pPr>
            <w:r>
              <w:rPr>
                <w:color w:val="000000"/>
                <w:sz w:val="15"/>
                <w:szCs w:val="15"/>
              </w:rPr>
              <w:t xml:space="preserve">0</w:t>
            </w:r>
          </w:p>
        </w:tc>
        <w:tc>
          <w:tcPr>
            <w:tcW w:type="dxa" w:w="2200"/>
            <w:tcMar>
              <w:top w:type="dxa" w:w="50"/>
              <w:left w:type="dxa" w:w="80"/>
              <w:bottom w:type="dxa" w:w="50"/>
              <w:right w:type="dxa" w:w="80"/>
            </w:tcMar>
          </w:tcPr>
          <w:p>
            <w:pPr>
              <w:spacing w:line="240"/>
              <w:jc w:val="left"/>
            </w:pPr>
            <w:r>
              <w:rPr>
                <w:color w:val="000000"/>
                <w:sz w:val="15"/>
                <w:szCs w:val="15"/>
              </w:rPr>
              <w:t xml:space="preserve">Error de sincronización POS–inventario (P14): piso en 0. Sin corregir, el stock negativo baja la cobertura de la posición y la saca artificialmente del riesgo.</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dic-2025 (a costo)</w:t>
            </w:r>
          </w:p>
        </w:tc>
        <w:tc>
          <w:tcPr>
            <w:tcW w:type="dxa" w:w="2200"/>
            <w:tcMar>
              <w:top w:type="dxa" w:w="50"/>
              <w:left w:type="dxa" w:w="80"/>
              <w:bottom w:type="dxa" w:w="50"/>
              <w:right w:type="dxa" w:w="80"/>
            </w:tcMar>
          </w:tcPr>
          <w:p>
            <w:pPr>
              <w:spacing w:line="240"/>
              <w:jc w:val="left"/>
            </w:pPr>
            <w:r>
              <w:rPr>
                <w:color w:val="000000"/>
                <w:sz w:val="15"/>
                <w:szCs w:val="15"/>
              </w:rPr>
              <w:t xml:space="preserve">$3.595,1 M</w:t>
            </w:r>
          </w:p>
        </w:tc>
        <w:tc>
          <w:tcPr>
            <w:tcW w:type="dxa" w:w="2200"/>
            <w:tcMar>
              <w:top w:type="dxa" w:w="50"/>
              <w:left w:type="dxa" w:w="80"/>
              <w:bottom w:type="dxa" w:w="50"/>
              <w:right w:type="dxa" w:w="80"/>
            </w:tcMar>
          </w:tcPr>
          <w:p>
            <w:pPr>
              <w:spacing w:line="240"/>
              <w:jc w:val="left"/>
            </w:pPr>
            <w:r>
              <w:rPr>
                <w:color w:val="000000"/>
                <w:sz w:val="15"/>
                <w:szCs w:val="15"/>
              </w:rPr>
              <w:t xml:space="preserve">$3.544,9 M</w:t>
            </w:r>
          </w:p>
        </w:tc>
        <w:tc>
          <w:tcPr>
            <w:tcW w:type="dxa" w:w="2200"/>
            <w:tcMar>
              <w:top w:type="dxa" w:w="50"/>
              <w:left w:type="dxa" w:w="80"/>
              <w:bottom w:type="dxa" w:w="50"/>
              <w:right w:type="dxa" w:w="80"/>
            </w:tcMar>
          </w:tcPr>
          <w:p>
            <w:pPr>
              <w:spacing w:line="240"/>
              <w:jc w:val="left"/>
            </w:pPr>
            <w:r>
              <w:rPr>
                <w:color w:val="000000"/>
                <w:sz w:val="15"/>
                <w:szCs w:val="15"/>
              </w:rPr>
              <w:t xml:space="preserve">−1,4%. Sin corregir, los SKUs duplicados se valúan dos veces y los 22 SKUs sin costo valen cero. Los dos errores se compensan en parte: el total parece razonable aunque esté mal por SKU.</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ago-2026 (a costo)</w:t>
            </w:r>
          </w:p>
        </w:tc>
        <w:tc>
          <w:tcPr>
            <w:tcW w:type="dxa" w:w="2200"/>
            <w:tcMar>
              <w:top w:type="dxa" w:w="50"/>
              <w:left w:type="dxa" w:w="80"/>
              <w:bottom w:type="dxa" w:w="50"/>
              <w:right w:type="dxa" w:w="80"/>
            </w:tcMar>
          </w:tcPr>
          <w:p>
            <w:pPr>
              <w:spacing w:line="240"/>
              <w:jc w:val="left"/>
            </w:pPr>
            <w:r>
              <w:rPr>
                <w:color w:val="000000"/>
                <w:sz w:val="15"/>
                <w:szCs w:val="15"/>
              </w:rPr>
              <w:t xml:space="preserve">$3.119,6 M</w:t>
            </w:r>
          </w:p>
        </w:tc>
        <w:tc>
          <w:tcPr>
            <w:tcW w:type="dxa" w:w="2200"/>
            <w:tcMar>
              <w:top w:type="dxa" w:w="50"/>
              <w:left w:type="dxa" w:w="80"/>
              <w:bottom w:type="dxa" w:w="50"/>
              <w:right w:type="dxa" w:w="80"/>
            </w:tcMar>
          </w:tcPr>
          <w:p>
            <w:pPr>
              <w:spacing w:line="240"/>
              <w:jc w:val="left"/>
            </w:pPr>
            <w:r>
              <w:rPr>
                <w:color w:val="000000"/>
                <w:sz w:val="15"/>
                <w:szCs w:val="15"/>
              </w:rPr>
              <w:t xml:space="preserve">$3.097,6 M</w:t>
            </w:r>
          </w:p>
        </w:tc>
        <w:tc>
          <w:tcPr>
            <w:tcW w:type="dxa" w:w="2200"/>
            <w:tcMar>
              <w:top w:type="dxa" w:w="50"/>
              <w:left w:type="dxa" w:w="80"/>
              <w:bottom w:type="dxa" w:w="50"/>
              <w:right w:type="dxa" w:w="80"/>
            </w:tcMar>
          </w:tcPr>
          <w:p>
            <w:pPr>
              <w:spacing w:line="240"/>
              <w:jc w:val="left"/>
            </w:pPr>
            <w:r>
              <w:rPr>
                <w:color w:val="000000"/>
                <w:sz w:val="15"/>
                <w:szCs w:val="15"/>
              </w:rPr>
              <w:t xml:space="preserve">−0,7%. Incluye el costo supuesto de los 22 SKUs (costo de OC × 1,2321, supuesto declarado en 1.2).</w:t>
            </w:r>
          </w:p>
        </w:tc>
      </w:tr>
      <w:tr>
        <w:tc>
          <w:tcPr>
            <w:tcW w:type="dxa" w:w="2400"/>
            <w:tcMar>
              <w:top w:type="dxa" w:w="50"/>
              <w:left w:type="dxa" w:w="80"/>
              <w:bottom w:type="dxa" w:w="50"/>
              <w:right w:type="dxa" w:w="80"/>
            </w:tcMar>
          </w:tcPr>
          <w:p>
            <w:pPr>
              <w:spacing w:line="240"/>
              <w:jc w:val="left"/>
            </w:pPr>
            <w:r>
              <w:rPr>
                <w:color w:val="000000"/>
                <w:sz w:val="15"/>
                <w:szCs w:val="15"/>
              </w:rPr>
              <w:t xml:space="preserve">Valores distintos de categoría · participación de Decoración en la venta</w:t>
            </w:r>
          </w:p>
        </w:tc>
        <w:tc>
          <w:tcPr>
            <w:tcW w:type="dxa" w:w="2200"/>
            <w:tcMar>
              <w:top w:type="dxa" w:w="50"/>
              <w:left w:type="dxa" w:w="80"/>
              <w:bottom w:type="dxa" w:w="50"/>
              <w:right w:type="dxa" w:w="80"/>
            </w:tcMar>
          </w:tcPr>
          <w:p>
            <w:pPr>
              <w:spacing w:line="240"/>
              <w:jc w:val="left"/>
            </w:pPr>
            <w:r>
              <w:rPr>
                <w:color w:val="000000"/>
                <w:sz w:val="15"/>
                <w:szCs w:val="15"/>
              </w:rPr>
              <w:t xml:space="preserve">11 · 20,80%</w:t>
            </w:r>
          </w:p>
        </w:tc>
        <w:tc>
          <w:tcPr>
            <w:tcW w:type="dxa" w:w="2200"/>
            <w:tcMar>
              <w:top w:type="dxa" w:w="50"/>
              <w:left w:type="dxa" w:w="80"/>
              <w:bottom w:type="dxa" w:w="50"/>
              <w:right w:type="dxa" w:w="80"/>
            </w:tcMar>
          </w:tcPr>
          <w:p>
            <w:pPr>
              <w:spacing w:line="240"/>
              <w:jc w:val="left"/>
            </w:pPr>
            <w:r>
              <w:rPr>
                <w:color w:val="000000"/>
                <w:sz w:val="15"/>
                <w:szCs w:val="15"/>
              </w:rPr>
              <w:t xml:space="preserve">7 · 22,35%</w:t>
            </w:r>
          </w:p>
        </w:tc>
        <w:tc>
          <w:tcPr>
            <w:tcW w:type="dxa" w:w="2200"/>
            <w:tcMar>
              <w:top w:type="dxa" w:w="50"/>
              <w:left w:type="dxa" w:w="80"/>
              <w:bottom w:type="dxa" w:w="50"/>
              <w:right w:type="dxa" w:w="80"/>
            </w:tcMar>
          </w:tcPr>
          <w:p>
            <w:pPr>
              <w:spacing w:line="240"/>
              <w:jc w:val="left"/>
            </w:pPr>
            <w:r>
              <w:rPr>
                <w:color w:val="000000"/>
                <w:sz w:val="15"/>
                <w:szCs w:val="15"/>
              </w:rPr>
              <w:t xml:space="preserve">R1. Sin unificar, Decoración pierde 1,5 pp de participación (los SKUs cargados como DECO o Decoración). Afecta la elección de la categoría piloto.</w:t>
            </w:r>
          </w:p>
        </w:tc>
      </w:tr>
      <w:tr>
        <w:tc>
          <w:tcPr>
            <w:tcW w:type="dxa" w:w="2400"/>
            <w:tcMar>
              <w:top w:type="dxa" w:w="50"/>
              <w:left w:type="dxa" w:w="80"/>
              <w:bottom w:type="dxa" w:w="50"/>
              <w:right w:type="dxa" w:w="80"/>
            </w:tcMar>
          </w:tcPr>
          <w:p>
            <w:pPr>
              <w:spacing w:line="240"/>
              <w:jc w:val="left"/>
            </w:pPr>
            <w:r>
              <w:rPr>
                <w:color w:val="000000"/>
                <w:sz w:val="15"/>
                <w:szCs w:val="15"/>
              </w:rPr>
              <w:t xml:space="preserve">Descuento promedio: liquidaciones · promociones</w:t>
            </w:r>
          </w:p>
        </w:tc>
        <w:tc>
          <w:tcPr>
            <w:tcW w:type="dxa" w:w="2200"/>
            <w:tcMar>
              <w:top w:type="dxa" w:w="50"/>
              <w:left w:type="dxa" w:w="80"/>
              <w:bottom w:type="dxa" w:w="50"/>
              <w:right w:type="dxa" w:w="80"/>
            </w:tcMar>
          </w:tcPr>
          <w:p>
            <w:pPr>
              <w:spacing w:line="240"/>
              <w:jc w:val="left"/>
            </w:pPr>
            <w:r>
              <w:rPr>
                <w:color w:val="000000"/>
                <w:sz w:val="15"/>
                <w:szCs w:val="15"/>
              </w:rPr>
              <w:t xml:space="preserve">26,56% · 20,80%</w:t>
            </w:r>
          </w:p>
        </w:tc>
        <w:tc>
          <w:tcPr>
            <w:tcW w:type="dxa" w:w="2200"/>
            <w:tcMar>
              <w:top w:type="dxa" w:w="50"/>
              <w:left w:type="dxa" w:w="80"/>
              <w:bottom w:type="dxa" w:w="50"/>
              <w:right w:type="dxa" w:w="80"/>
            </w:tcMar>
          </w:tcPr>
          <w:p>
            <w:pPr>
              <w:spacing w:line="240"/>
              <w:jc w:val="left"/>
            </w:pPr>
            <w:r>
              <w:rPr>
                <w:color w:val="000000"/>
                <w:sz w:val="15"/>
                <w:szCs w:val="15"/>
              </w:rPr>
              <w:t xml:space="preserve">26,31% · 20,00%</w:t>
            </w:r>
          </w:p>
        </w:tc>
        <w:tc>
          <w:tcPr>
            <w:tcW w:type="dxa" w:w="2200"/>
            <w:tcMar>
              <w:top w:type="dxa" w:w="50"/>
              <w:left w:type="dxa" w:w="80"/>
              <w:bottom w:type="dxa" w:w="50"/>
              <w:right w:type="dxa" w:w="80"/>
            </w:tcMar>
          </w:tcPr>
          <w:p>
            <w:pPr>
              <w:spacing w:line="240"/>
              <w:jc w:val="left"/>
            </w:pPr>
            <w:r>
              <w:rPr>
                <w:color w:val="000000"/>
                <w:sz w:val="15"/>
                <w:szCs w:val="15"/>
              </w:rPr>
              <w:t xml:space="preserve">H9. Los 5 descuentos fuera de rango (120%, −10%, 150%, −15%) se excluyen como error de carga (P24-P28).</w:t>
            </w:r>
          </w:p>
        </w:tc>
      </w:tr>
      <w:tr>
        <w:tc>
          <w:tcPr>
            <w:tcW w:type="dxa" w:w="2400"/>
            <w:tcMar>
              <w:top w:type="dxa" w:w="50"/>
              <w:left w:type="dxa" w:w="80"/>
              <w:bottom w:type="dxa" w:w="50"/>
              <w:right w:type="dxa" w:w="80"/>
            </w:tcMar>
          </w:tcPr>
          <w:p>
            <w:pPr>
              <w:spacing w:line="240"/>
              <w:jc w:val="left"/>
            </w:pPr>
            <w:r>
              <w:rPr>
                <w:color w:val="000000"/>
                <w:sz w:val="15"/>
                <w:szCs w:val="15"/>
              </w:rPr>
              <w:t xml:space="preserve">Liquidaciones con fecha de fin legible</w:t>
            </w:r>
          </w:p>
        </w:tc>
        <w:tc>
          <w:tcPr>
            <w:tcW w:type="dxa" w:w="2200"/>
            <w:tcMar>
              <w:top w:type="dxa" w:w="50"/>
              <w:left w:type="dxa" w:w="80"/>
              <w:bottom w:type="dxa" w:w="50"/>
              <w:right w:type="dxa" w:w="80"/>
            </w:tcMar>
          </w:tcPr>
          <w:p>
            <w:pPr>
              <w:spacing w:line="240"/>
              <w:jc w:val="left"/>
            </w:pPr>
            <w:r>
              <w:rPr>
                <w:color w:val="000000"/>
                <w:sz w:val="15"/>
                <w:szCs w:val="15"/>
              </w:rPr>
              <w:t xml:space="preserve">585</w:t>
            </w:r>
          </w:p>
        </w:tc>
        <w:tc>
          <w:tcPr>
            <w:tcW w:type="dxa" w:w="2200"/>
            <w:tcMar>
              <w:top w:type="dxa" w:w="50"/>
              <w:left w:type="dxa" w:w="80"/>
              <w:bottom w:type="dxa" w:w="50"/>
              <w:right w:type="dxa" w:w="80"/>
            </w:tcMar>
          </w:tcPr>
          <w:p>
            <w:pPr>
              <w:spacing w:line="240"/>
              <w:jc w:val="left"/>
            </w:pPr>
            <w:r>
              <w:rPr>
                <w:color w:val="000000"/>
                <w:sz w:val="15"/>
                <w:szCs w:val="15"/>
              </w:rPr>
              <w:t xml:space="preserve">593</w:t>
            </w:r>
          </w:p>
        </w:tc>
        <w:tc>
          <w:tcPr>
            <w:tcW w:type="dxa" w:w="2200"/>
            <w:tcMar>
              <w:top w:type="dxa" w:w="50"/>
              <w:left w:type="dxa" w:w="80"/>
              <w:bottom w:type="dxa" w:w="50"/>
              <w:right w:type="dxa" w:w="80"/>
            </w:tcMar>
          </w:tcPr>
          <w:p>
            <w:pPr>
              <w:spacing w:line="240"/>
              <w:jc w:val="left"/>
            </w:pPr>
            <w:r>
              <w:rPr>
                <w:color w:val="000000"/>
                <w:sz w:val="15"/>
                <w:szCs w:val="15"/>
              </w:rPr>
              <w:t xml:space="preserve">R2. Las 8 fechas con hora se recuperan; el TP1 las había descartado como no parseables.</w:t>
            </w:r>
          </w:p>
        </w:tc>
      </w:tr>
      <w:tr>
        <w:tc>
          <w:tcPr>
            <w:tcW w:type="dxa" w:w="2400"/>
            <w:tcMar>
              <w:top w:type="dxa" w:w="50"/>
              <w:left w:type="dxa" w:w="80"/>
              <w:bottom w:type="dxa" w:w="50"/>
              <w:right w:type="dxa" w:w="80"/>
            </w:tcMar>
          </w:tcPr>
          <w:p>
            <w:pPr>
              <w:spacing w:line="240"/>
              <w:jc w:val="left"/>
            </w:pPr>
            <w:r>
              <w:rPr>
                <w:color w:val="000000"/>
                <w:sz w:val="15"/>
                <w:szCs w:val="15"/>
              </w:rPr>
              <w:t xml:space="preserve">Cumplimiento presupuestario 2022</w:t>
            </w:r>
          </w:p>
        </w:tc>
        <w:tc>
          <w:tcPr>
            <w:tcW w:type="dxa" w:w="2200"/>
            <w:tcMar>
              <w:top w:type="dxa" w:w="50"/>
              <w:left w:type="dxa" w:w="80"/>
              <w:bottom w:type="dxa" w:w="50"/>
              <w:right w:type="dxa" w:w="80"/>
            </w:tcMar>
          </w:tcPr>
          <w:p>
            <w:pPr>
              <w:spacing w:line="240"/>
              <w:jc w:val="left"/>
            </w:pPr>
            <w:r>
              <w:rPr>
                <w:color w:val="000000"/>
                <w:sz w:val="15"/>
                <w:szCs w:val="15"/>
              </w:rPr>
              <w:t xml:space="preserve">90,76%</w:t>
            </w:r>
          </w:p>
        </w:tc>
        <w:tc>
          <w:tcPr>
            <w:tcW w:type="dxa" w:w="2200"/>
            <w:tcMar>
              <w:top w:type="dxa" w:w="50"/>
              <w:left w:type="dxa" w:w="80"/>
              <w:bottom w:type="dxa" w:w="50"/>
              <w:right w:type="dxa" w:w="80"/>
            </w:tcMar>
          </w:tcPr>
          <w:p>
            <w:pPr>
              <w:spacing w:line="240"/>
              <w:jc w:val="left"/>
            </w:pPr>
            <w:r>
              <w:rPr>
                <w:color w:val="000000"/>
                <w:sz w:val="15"/>
                <w:szCs w:val="15"/>
              </w:rPr>
              <w:t xml:space="preserve">89,46%</w:t>
            </w:r>
          </w:p>
        </w:tc>
        <w:tc>
          <w:tcPr>
            <w:tcW w:type="dxa" w:w="2200"/>
            <w:tcMar>
              <w:top w:type="dxa" w:w="50"/>
              <w:left w:type="dxa" w:w="80"/>
              <w:bottom w:type="dxa" w:w="50"/>
              <w:right w:type="dxa" w:w="80"/>
            </w:tcMar>
          </w:tcPr>
          <w:p>
            <w:pPr>
              <w:spacing w:line="240"/>
              <w:jc w:val="left"/>
            </w:pPr>
            <w:r>
              <w:rPr>
                <w:color w:val="000000"/>
                <w:sz w:val="15"/>
                <w:szCs w:val="15"/>
              </w:rPr>
              <w:t xml:space="preserve">H9. Sin excluir los 309 ceros de ene-may 2022 y los 3 negativos, la venta real sin meta infla el cumplimiento en 1,3 pp.</w:t>
            </w:r>
          </w:p>
        </w:tc>
      </w:tr>
      <w:tr>
        <w:tc>
          <w:tcPr>
            <w:tcW w:type="dxa" w:w="2400"/>
            <w:tcMar>
              <w:top w:type="dxa" w:w="50"/>
              <w:left w:type="dxa" w:w="80"/>
              <w:bottom w:type="dxa" w:w="50"/>
              <w:right w:type="dxa" w:w="80"/>
            </w:tcMar>
          </w:tcPr>
          <w:p>
            <w:pPr>
              <w:spacing w:line="240"/>
              <w:jc w:val="left"/>
            </w:pPr>
            <w:r>
              <w:rPr>
                <w:color w:val="000000"/>
                <w:sz w:val="15"/>
                <w:szCs w:val="15"/>
              </w:rPr>
              <w:t xml:space="preserve">Posiciones con cobertura &gt; 12 meses a dic-2025</w:t>
            </w:r>
          </w:p>
        </w:tc>
        <w:tc>
          <w:tcPr>
            <w:tcW w:type="dxa" w:w="2200"/>
            <w:tcMar>
              <w:top w:type="dxa" w:w="50"/>
              <w:left w:type="dxa" w:w="80"/>
              <w:bottom w:type="dxa" w:w="50"/>
              <w:right w:type="dxa" w:w="80"/>
            </w:tcMar>
          </w:tcPr>
          <w:p>
            <w:pPr>
              <w:spacing w:line="240"/>
              <w:jc w:val="left"/>
            </w:pPr>
            <w:r>
              <w:rPr>
                <w:color w:val="000000"/>
                <w:sz w:val="15"/>
                <w:szCs w:val="15"/>
              </w:rPr>
              <w:t xml:space="preserve">211</w:t>
            </w:r>
          </w:p>
        </w:tc>
        <w:tc>
          <w:tcPr>
            <w:tcW w:type="dxa" w:w="2200"/>
            <w:tcMar>
              <w:top w:type="dxa" w:w="50"/>
              <w:left w:type="dxa" w:w="80"/>
              <w:bottom w:type="dxa" w:w="50"/>
              <w:right w:type="dxa" w:w="80"/>
            </w:tcMar>
          </w:tcPr>
          <w:p>
            <w:pPr>
              <w:spacing w:line="240"/>
              <w:jc w:val="left"/>
            </w:pPr>
            <w:r>
              <w:rPr>
                <w:color w:val="000000"/>
                <w:sz w:val="15"/>
                <w:szCs w:val="15"/>
              </w:rPr>
              <w:t xml:space="preserve">213</w:t>
            </w:r>
          </w:p>
        </w:tc>
        <w:tc>
          <w:tcPr>
            <w:tcW w:type="dxa" w:w="2200"/>
            <w:tcMar>
              <w:top w:type="dxa" w:w="50"/>
              <w:left w:type="dxa" w:w="80"/>
              <w:bottom w:type="dxa" w:w="50"/>
              <w:right w:type="dxa" w:w="80"/>
            </w:tcMar>
          </w:tcPr>
          <w:p>
            <w:pPr>
              <w:spacing w:line="240"/>
              <w:jc w:val="left"/>
            </w:pPr>
            <w:r>
              <w:rPr>
                <w:color w:val="000000"/>
                <w:sz w:val="15"/>
                <w:szCs w:val="15"/>
              </w:rPr>
              <w:t xml:space="preserve">Diferencia mínima en el total, pero cambian posiciones individuales por los duplicados y los negativos.</w:t>
            </w:r>
          </w:p>
        </w:tc>
      </w:tr>
      <w:tr>
        <w:tc>
          <w:tcPr>
            <w:tcW w:type="dxa" w:w="2400"/>
            <w:tcMar>
              <w:top w:type="dxa" w:w="50"/>
              <w:left w:type="dxa" w:w="80"/>
              <w:bottom w:type="dxa" w:w="50"/>
              <w:right w:type="dxa" w:w="80"/>
            </w:tcMar>
          </w:tcPr>
          <w:p>
            <w:pPr>
              <w:spacing w:line="240"/>
              <w:jc w:val="left"/>
            </w:pPr>
            <w:r>
              <w:rPr>
                <w:color w:val="000000"/>
                <w:sz w:val="15"/>
                <w:szCs w:val="15"/>
              </w:rPr>
              <w:t xml:space="preserve">Prevalencia del target (devoluciones a 0 → neteadas)</w:t>
            </w:r>
          </w:p>
        </w:tc>
        <w:tc>
          <w:tcPr>
            <w:tcW w:type="dxa" w:w="2200"/>
            <w:tcMar>
              <w:top w:type="dxa" w:w="50"/>
              <w:left w:type="dxa" w:w="80"/>
              <w:bottom w:type="dxa" w:w="50"/>
              <w:right w:type="dxa" w:w="80"/>
            </w:tcMar>
          </w:tcPr>
          <w:p>
            <w:pPr>
              <w:spacing w:line="240"/>
              <w:jc w:val="left"/>
            </w:pPr>
            <w:r>
              <w:rPr>
                <w:color w:val="000000"/>
                <w:sz w:val="15"/>
                <w:szCs w:val="15"/>
              </w:rPr>
              <w:t xml:space="preserve">2,61% · 5.260 positivos</w:t>
            </w:r>
          </w:p>
        </w:tc>
        <w:tc>
          <w:tcPr>
            <w:tcW w:type="dxa" w:w="2200"/>
            <w:tcMar>
              <w:top w:type="dxa" w:w="50"/>
              <w:left w:type="dxa" w:w="80"/>
              <w:bottom w:type="dxa" w:w="50"/>
              <w:right w:type="dxa" w:w="80"/>
            </w:tcMar>
          </w:tcPr>
          <w:p>
            <w:pPr>
              <w:spacing w:line="240"/>
              <w:jc w:val="left"/>
            </w:pPr>
            <w:r>
              <w:rPr>
                <w:color w:val="000000"/>
                <w:sz w:val="15"/>
                <w:szCs w:val="15"/>
              </w:rPr>
              <w:t xml:space="preserve">3,40% · 6.853 positivos</w:t>
            </w:r>
          </w:p>
        </w:tc>
        <w:tc>
          <w:tcPr>
            <w:tcW w:type="dxa" w:w="2200"/>
            <w:tcMar>
              <w:top w:type="dxa" w:w="50"/>
              <w:left w:type="dxa" w:w="80"/>
              <w:bottom w:type="dxa" w:w="50"/>
              <w:right w:type="dxa" w:w="80"/>
            </w:tcMar>
          </w:tcPr>
          <w:p>
            <w:pPr>
              <w:spacing w:line="240"/>
              <w:jc w:val="left"/>
            </w:pPr>
            <w:r>
              <w:rPr>
                <w:color w:val="000000"/>
                <w:sz w:val="15"/>
                <w:szCs w:val="15"/>
              </w:rPr>
              <w:t xml:space="preserve">+30%. Es el cambio más relevante para el modelo: el tratamiento de las devoluciones (P23) redefine qué posiciones son positivas, sobre todo las de muy bajo volumen.</w:t>
            </w:r>
          </w:p>
        </w:tc>
      </w:tr>
    </w:tbl>
    <w:p>
      <w:pPr>
        <w:spacing w:after="110" w:line="276" w:before="160"/>
        <w:jc w:val="both"/>
      </w:pPr>
      <w:r>
        <w:rPr>
          <w:b/>
          <w:bCs/>
          <w:sz w:val="21"/>
          <w:szCs w:val="21"/>
        </w:rPr>
        <w:t xml:space="preserve">Conclusión. </w:t>
      </w:r>
      <w:r>
        <w:rPr>
          <w:sz w:val="21"/>
          <w:szCs w:val="21"/>
        </w:rPr>
        <w:t xml:space="preserve">Los problemas de calidad mueven poco los agregados (menos de 2% en venta, unidades y capital), pero sí los cortes que usa el modelo: por SKU (duplicados y costos faltantes), por categoría (Decoración) y por posición. La prevalencia del target sube 30% según cómo se traten las devoluciones. Por eso el plan de mejora se aplica completo antes de construir el dataset de entrenamiento, y los agregados sin corregir no deben usarse como validación de que los datos están bien.</w:t>
      </w:r>
    </w:p>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sz w:val="21"/>
          <w:szCs w:val="21"/>
        </w:rPr>
        <w:t xml:space="preserve">El dataset se construye sobre los datos ya corregidos según el plan de la sección 1.2. La definición del target, la unidad y el horizonte surgen del relevamiento con el negocio y de la comparación de cinco variables objetivo candidatas. Con el universo definitivo (posiciones con al menos 3 meses de historia) las cinco tienen una inercia parecida: una regla que repite el estado actual acierta entre el 34% y el 39% de los casos en todas. La elección se apoya entonces en el negocio: un umbral relativo a la rotación de cada SKU, como pidió Comercial; sin discontinuados, que en 2026 no existen; y un evento sobre el que se puede actuar.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color w:val="000000"/>
                <w:sz w:val="15"/>
                <w:szCs w:val="15"/>
              </w:rPr>
              <w:t xml:space="preserve">Binaria. Vale 1 si la posición SKU–tienda tiene cobertura mayor a 12 meses dentro de 3 meses (t+3). Cobertura = stock disponible / promedio mensual de unidades vendidas de los últimos 12 meses (o de los disponibles, si la posición es más nueva), con las devoluciones neteadas. Se excluyen los SKUs discontinuados, que van a una lista aparte con regla fija.</w:t>
            </w:r>
          </w:p>
          <w:p>
            <w:pPr>
              <w:spacing w:line="240"/>
              <w:jc w:val="left"/>
            </w:pPr>
            <w:r>
              <w:rPr>
                <w:color w:val="000000"/>
                <w:sz w:val="15"/>
                <w:szCs w:val="15"/>
              </w:rPr>
              <w:t xml:space="preserve">Positivos: 6.853 de 201.306 filas (3,40%). Se prioriza recall: el negocio declaró más costoso el falso negativo.</w:t>
            </w:r>
          </w:p>
          <w:p>
            <w:pPr>
              <w:spacing w:line="240"/>
              <w:jc w:val="left"/>
            </w:pPr>
            <w:r>
              <w:rPr>
                <w:color w:val="000000"/>
                <w:sz w:val="15"/>
                <w:szCs w:val="15"/>
              </w:rPr>
              <w:t xml:space="preserve">Estado: propuesta del equipo, pendiente de aprobación de María G. (Comercial).</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SKU–tienda–mes. Una fila por posición y mes de corte t.</w:t>
            </w:r>
          </w:p>
          <w:p>
            <w:pPr>
              <w:spacing w:line="240"/>
              <w:jc w:val="left"/>
            </w:pPr>
            <w:r>
              <w:rPr>
                <w:color w:val="000000"/>
                <w:sz w:val="15"/>
                <w:szCs w:val="15"/>
              </w:rPr>
              <w:t xml:space="preserve">Universo: posiciones con stock disponible &gt; 0 en t, no discontinuadas, con al menos 3 meses de historia y con la posición observada en t+3. Se bajó de 12 a 3 meses porque con 12 quedaban afuera el 40% de las filas, el 45% de los positivos y todos los productos nuevos, que son los de mayor riesgo (6,8% de positivos en sus primeros 3 meses contra 3,4% de las posiciones maduras). Una variable marca las posiciones con menos de 12 meses. Las de menos de 3 meses quedan fuera del modelo y requieren una regla aparte.</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color w:val="000000"/>
                <w:sz w:val="15"/>
                <w:szCs w:val="15"/>
              </w:rPr>
              <w:t xml:space="preserve">60 features (55 numéricas y 5 categóricas), todas calculadas con información disponible al cierre del mes t:</w:t>
            </w:r>
          </w:p>
          <w:p>
            <w:pPr>
              <w:spacing w:line="240"/>
              <w:jc w:val="left"/>
            </w:pPr>
            <w:r>
              <w:rPr>
                <w:color w:val="000000"/>
                <w:sz w:val="15"/>
                <w:szCs w:val="15"/>
              </w:rPr>
              <w:t xml:space="preserve">• Demanda e historia de la posición (14): unidades del mes, de t-1 y t-2, de 3 y 6 meses, promedio y máximo de 12 meses, coeficiente de variación, tendencia 3 vs 12 meses, meses con venta, meses consecutivos sin venta, indicador sin venta en 12 meses, antigüedad de la posición e indicador de historia corta.</w:t>
            </w:r>
          </w:p>
          <w:p>
            <w:pPr>
              <w:spacing w:line="240"/>
              <w:jc w:val="left"/>
            </w:pPr>
            <w:r>
              <w:rPr>
                <w:color w:val="000000"/>
                <w:sz w:val="15"/>
                <w:szCs w:val="15"/>
              </w:rPr>
              <w:t xml:space="preserve">• Stock de la posición (5): stock disponible, variación a 3 meses, cobertura actual y de hace 3 meses, cambio de cobertura.</w:t>
            </w:r>
          </w:p>
          <w:p>
            <w:pPr>
              <w:spacing w:line="240"/>
              <w:jc w:val="left"/>
            </w:pPr>
            <w:r>
              <w:rPr>
                <w:color w:val="000000"/>
                <w:sz w:val="15"/>
                <w:szCs w:val="15"/>
              </w:rPr>
              <w:t xml:space="preserve">• SKU en la cadena (8): stock y cobertura del SKU en las 28 tiendas, tiendas con stock y con cobertura &gt; 12, stock y cobertura del depósito central, tendencia del SKU en la cadena, stock de la posición contra el promedio del SKU.</w:t>
            </w:r>
          </w:p>
          <w:p>
            <w:pPr>
              <w:spacing w:line="240"/>
              <w:jc w:val="left"/>
            </w:pPr>
            <w:r>
              <w:rPr>
                <w:color w:val="000000"/>
                <w:sz w:val="15"/>
                <w:szCs w:val="15"/>
              </w:rPr>
              <w:t xml:space="preserve">• Contexto de la tienda (6): tendencia de la tienda y de la categoría en la tienda, peso de la posición en la tienda, posiciones con stock, proporción de posiciones de la tienda con cobertura &gt; 12, cumplimiento presupuestario de 3 meses.</w:t>
            </w:r>
          </w:p>
          <w:p>
            <w:pPr>
              <w:spacing w:line="240"/>
              <w:jc w:val="left"/>
            </w:pPr>
            <w:r>
              <w:rPr>
                <w:color w:val="000000"/>
                <w:sz w:val="15"/>
                <w:szCs w:val="15"/>
              </w:rPr>
              <w:t xml:space="preserve">• Abastecimiento (10): OC recibidas en 3 y 12 meses, cantidad de OC, meses desde la última OC, OC pendientes, transferencias recibidas en 3 y 12 meses y enviadas, lead time y pedido mínimo.</w:t>
            </w:r>
          </w:p>
          <w:p>
            <w:pPr>
              <w:spacing w:line="240"/>
              <w:jc w:val="left"/>
            </w:pPr>
            <w:r>
              <w:rPr>
                <w:color w:val="000000"/>
                <w:sz w:val="15"/>
                <w:szCs w:val="15"/>
              </w:rPr>
              <w:t xml:space="preserve">• Acciones comerciales (7): liquidación activa y su descuento, liquidaciones de la posición y del SKU en 12 meses, promociones de la categoría activas y en 12 meses, descuento máximo.</w:t>
            </w:r>
          </w:p>
          <w:p>
            <w:pPr>
              <w:spacing w:line="240"/>
              <w:jc w:val="left"/>
            </w:pPr>
            <w:r>
              <w:rPr>
                <w:color w:val="000000"/>
                <w:sz w:val="15"/>
                <w:szCs w:val="15"/>
              </w:rPr>
              <w:t xml:space="preserve">• Producto (2 + 3 categóricas): precio relativo a la subcategoría, antigüedad del SKU; categoría, subcategoría y proveedor.</w:t>
            </w:r>
          </w:p>
          <w:p>
            <w:pPr>
              <w:spacing w:line="240"/>
              <w:jc w:val="left"/>
            </w:pPr>
            <w:r>
              <w:rPr>
                <w:color w:val="000000"/>
                <w:sz w:val="15"/>
                <w:szCs w:val="15"/>
              </w:rPr>
              <w:t xml:space="preserve">• Tienda (1 + 2 categóricas): m² de venta; región y formato.  • Temporal (2): mes del año y meses con evento comercial fijo entre t+1 y t+3.</w:t>
            </w:r>
          </w:p>
          <w:p>
            <w:pPr>
              <w:spacing w:line="240"/>
              <w:jc w:val="left"/>
            </w:pPr>
            <w:r>
              <w:rPr>
                <w:color w:val="000000"/>
                <w:sz w:val="15"/>
                <w:szCs w:val="15"/>
              </w:rPr>
              <w:t xml:space="preserve">Las variables excluidas y el motivo se detallan en la tabla «Variables excluidas».</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11 de las 15 fuentes, sobre Datasets_Normalizados (corte ago-2026):</w:t>
            </w:r>
          </w:p>
          <w:p>
            <w:pPr>
              <w:spacing w:line="240"/>
              <w:jc w:val="left"/>
            </w:pPr>
            <w:r>
              <w:rPr>
                <w:color w:val="000000"/>
                <w:sz w:val="15"/>
                <w:szCs w:val="15"/>
              </w:rPr>
              <w:t xml:space="preserve">• Ventas ⋈ Stock por (mes, tienda, SKU): panel base, tras deduplicar y tratar negativos.</w:t>
            </w:r>
          </w:p>
          <w:p>
            <w:pPr>
              <w:spacing w:line="240"/>
              <w:jc w:val="left"/>
            </w:pPr>
            <w:r>
              <w:rPr>
                <w:color w:val="000000"/>
                <w:sz w:val="15"/>
                <w:szCs w:val="15"/>
              </w:rPr>
              <w:t xml:space="preserve">• Productos_catalogo y Proveedores por SKU y proveedor · Tiendas por tienda.</w:t>
            </w:r>
          </w:p>
          <w:p>
            <w:pPr>
              <w:spacing w:line="240"/>
              <w:jc w:val="left"/>
            </w:pPr>
            <w:r>
              <w:rPr>
                <w:color w:val="000000"/>
                <w:sz w:val="15"/>
                <w:szCs w:val="15"/>
              </w:rPr>
              <w:t xml:space="preserve">• Stock_Deposito_Central y Ordenes_Compra por (mes, SKU).</w:t>
            </w:r>
          </w:p>
          <w:p>
            <w:pPr>
              <w:spacing w:line="240"/>
              <w:jc w:val="left"/>
            </w:pPr>
            <w:r>
              <w:rPr>
                <w:color w:val="000000"/>
                <w:sz w:val="15"/>
                <w:szCs w:val="15"/>
              </w:rPr>
              <w:t xml:space="preserve">• Transferencias_Stock y Liquidaciones por (mes, tienda, SKU) · Promociones_Comerciales por (mes, categoría).</w:t>
            </w:r>
          </w:p>
          <w:p>
            <w:pPr>
              <w:spacing w:line="240"/>
              <w:jc w:val="left"/>
            </w:pPr>
            <w:r>
              <w:rPr>
                <w:color w:val="000000"/>
                <w:sz w:val="15"/>
                <w:szCs w:val="15"/>
              </w:rPr>
              <w:t xml:space="preserve">• Presupuesto por (mes, tienda, categoría), solo el cumplimiento pasado.</w:t>
            </w:r>
          </w:p>
          <w:p>
            <w:pPr>
              <w:spacing w:line="240"/>
              <w:jc w:val="left"/>
            </w:pPr>
            <w:r>
              <w:rPr>
                <w:color w:val="000000"/>
                <w:sz w:val="15"/>
                <w:szCs w:val="15"/>
              </w:rPr>
              <w:t xml:space="preserve">No se usan Calendario (no cubre 2026; los eventos fijos se derivan de la fecha), Historial_Precios (reconstrucción, P9-P10), Devoluciones (no cubre 2026; ya netea en Ventas) ni Costo_almacenamiento (constante por categoría). Ninguna fuente contiene datos personales: no aplica anonimización (Ley 25.326).</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color w:val="000000"/>
                <w:sz w:val="15"/>
                <w:szCs w:val="15"/>
              </w:rPr>
              <w:t xml:space="preserve">Cortes t de mar-2022 a may-2026, con etiquetas hasta ago-2026. Las ventanas usan la historia disponible desde ene-2022.</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Temporal, nunca aleatoria, con un embargo de 3 meses (igual al horizonte) entre bloques para que ninguna etiqueta de un bloque caiga en el siguiente:</w:t>
            </w:r>
          </w:p>
          <w:p>
            <w:pPr>
              <w:spacing w:line="240"/>
              <w:jc w:val="left"/>
            </w:pPr>
            <w:r>
              <w:rPr>
                <w:color w:val="000000"/>
                <w:sz w:val="15"/>
                <w:szCs w:val="15"/>
              </w:rPr>
              <w:t xml:space="preserve">• Train: t de mar-2022 a dic-2024 · 98.649 filas · 2,50% positivos.</w:t>
            </w:r>
          </w:p>
          <w:p>
            <w:pPr>
              <w:spacing w:line="240"/>
              <w:jc w:val="left"/>
            </w:pPr>
            <w:r>
              <w:rPr>
                <w:color w:val="000000"/>
                <w:sz w:val="15"/>
                <w:szCs w:val="15"/>
              </w:rPr>
              <w:t xml:space="preserve">• Validación: t de abr-2025 a sep-2025 · 38.362 filas · 2,23% positivos.</w:t>
            </w:r>
          </w:p>
          <w:p>
            <w:pPr>
              <w:spacing w:line="240"/>
              <w:jc w:val="left"/>
            </w:pPr>
            <w:r>
              <w:rPr>
                <w:color w:val="000000"/>
                <w:sz w:val="15"/>
                <w:szCs w:val="15"/>
              </w:rPr>
              <w:t xml:space="preserve">• Test: t de ene-2026 a may-2026 · 28.070 filas · 9,03% positivos.</w:t>
            </w:r>
          </w:p>
          <w:p>
            <w:pPr>
              <w:spacing w:line="240"/>
              <w:jc w:val="left"/>
            </w:pPr>
            <w:r>
              <w:rPr>
                <w:color w:val="000000"/>
                <w:sz w:val="15"/>
                <w:szCs w:val="15"/>
              </w:rPr>
              <w:t xml:space="preserve">• Embargo (no se evalúa): ene-mar 2025 y oct-dic 2025 · 36.225 filas. El modelo final se reentrena con todas las filas.</w:t>
            </w:r>
          </w:p>
          <w:p>
            <w:pPr>
              <w:spacing w:line="240"/>
              <w:jc w:val="left"/>
            </w:pPr>
            <w:r>
              <w:rPr>
                <w:color w:val="000000"/>
                <w:sz w:val="15"/>
                <w:szCs w:val="15"/>
              </w:rPr>
              <w:t xml:space="preserve">La prevalencia de 2026 (9,0%) es más del triple que la de 2022-2025 (2,5%; la venta cae 13,2%): el test mide si el modelo resiste ese cambio de régimen.</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color w:val="000000"/>
                <w:sz w:val="15"/>
                <w:szCs w:val="15"/>
              </w:rPr>
              <w:t xml:space="preserve">dataset_entrenamiento_v3 (Datasets_Modelo/dataset_entrenamiento_v3.parquet). Versión transformada: dataset_entrenamiento_v3_transformado.parquet. Diccionario: diccionario_features_v3.csv. Generado por Modelo/construir_dataset_modelo.py, reproducible desde Datasets_Normalizados. La v3 reemplaza a versiones internas anteriores: amplía el universo a posiciones con 3 meses de historia y saca las variables de precio y costo absolutos y de stock en tránsito.</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201.306 filas × 60 features, más 3 identificadores (mes, tienda, SKU), el target, la partición y una marca de costo imputado. Cubre 9.818 posiciones, 750 SKUs y 28 tiendas. Después de la codificación one-hot: 106 columnas de features.</w:t>
            </w:r>
          </w:p>
        </w:tc>
      </w:tr>
    </w:tbl>
    <w:p>
      <w:pPr>
        <w:spacing w:after="70" w:before="180"/>
      </w:pPr>
      <w:r>
        <w:rPr>
          <w:b/>
          <w:bCs/>
          <w:sz w:val="21"/>
          <w:szCs w:val="21"/>
        </w:rPr>
        <w:t xml:space="preserve">Criterios de selección de fuentes</w:t>
      </w:r>
    </w:p>
    <w:p>
      <w:pPr>
        <w:spacing w:after="110" w:line="276"/>
        <w:jc w:val="both"/>
      </w:pPr>
      <w:r>
        <w:rPr>
          <w:sz w:val="21"/>
          <w:szCs w:val="21"/>
        </w:rPr>
        <w:t xml:space="preserve">Cada fuente se evaluó por relevancia para el target, disponibilidad histórica, calidad, riesgo de privacidad, accionabilidad y riesgo de sesgo.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Relevancia</w:t>
            </w:r>
          </w:p>
        </w:tc>
        <w:tc>
          <w:tcPr>
            <w:tcW w:type="dxa" w:w="800"/>
            <w:shd w:fill="1F3864" w:color="auto" w:val="clear"/>
            <w:tcMar>
              <w:top w:type="dxa" w:w="50"/>
              <w:left w:type="dxa" w:w="80"/>
              <w:bottom w:type="dxa" w:w="50"/>
              <w:right w:type="dxa" w:w="80"/>
            </w:tcMar>
          </w:tcPr>
          <w:p>
            <w:pPr>
              <w:spacing w:line="240"/>
              <w:jc w:val="left"/>
            </w:pPr>
            <w:r>
              <w:rPr>
                <w:b/>
                <w:bCs/>
                <w:color w:val="FFFFFF"/>
                <w:sz w:val="15"/>
                <w:szCs w:val="15"/>
              </w:rPr>
              <w:t xml:space="preserve">¿Se usa?</w:t>
            </w:r>
          </w:p>
        </w:tc>
        <w:tc>
          <w:tcPr>
            <w:tcW w:type="dxa" w:w="4600"/>
            <w:shd w:fill="1F3864" w:color="auto" w:val="clear"/>
            <w:tcMar>
              <w:top w:type="dxa" w:w="50"/>
              <w:left w:type="dxa" w:w="80"/>
              <w:bottom w:type="dxa" w:w="50"/>
              <w:right w:type="dxa" w:w="80"/>
            </w:tcMar>
          </w:tcPr>
          <w:p>
            <w:pPr>
              <w:spacing w:line="240"/>
              <w:jc w:val="left"/>
            </w:pPr>
            <w:r>
              <w:rPr>
                <w:b/>
                <w:bCs/>
                <w:color w:val="FFFFFF"/>
                <w:sz w:val="15"/>
                <w:szCs w:val="15"/>
              </w:rPr>
              <w:t xml:space="preserve">Criterio</w:t>
            </w:r>
          </w:p>
        </w:tc>
      </w:tr>
      <w:tr>
        <w:tc>
          <w:tcPr>
            <w:tcW w:type="dxa" w:w="2600"/>
            <w:tcMar>
              <w:top w:type="dxa" w:w="50"/>
              <w:left w:type="dxa" w:w="80"/>
              <w:bottom w:type="dxa" w:w="50"/>
              <w:right w:type="dxa" w:w="80"/>
            </w:tcMar>
          </w:tcPr>
          <w:p>
            <w:pPr>
              <w:spacing w:line="240"/>
              <w:jc w:val="left"/>
            </w:pPr>
            <w:r>
              <w:rPr>
                <w:color w:val="000000"/>
                <w:sz w:val="15"/>
                <w:szCs w:val="15"/>
              </w:rPr>
              <w:t xml:space="preserve">Ventas_SKU_tienda_mensual</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Base del target (ritmo de venta) y de las features de demanda. Corregida por H1 y H4.</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Stock_SKU_tienda_mensual</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Base del target (stock disponible). Corregida por H1 y H4. El stock en tránsito no se usa: no tiene definición y pierde la señal en 2026 (H6).</w:t>
            </w:r>
          </w:p>
        </w:tc>
      </w:tr>
      <w:tr>
        <w:tc>
          <w:tcPr>
            <w:tcW w:type="dxa" w:w="2600"/>
            <w:tcMar>
              <w:top w:type="dxa" w:w="50"/>
              <w:left w:type="dxa" w:w="80"/>
              <w:bottom w:type="dxa" w:w="50"/>
              <w:right w:type="dxa" w:w="80"/>
            </w:tcMar>
          </w:tcPr>
          <w:p>
            <w:pPr>
              <w:spacing w:line="240"/>
              <w:jc w:val="left"/>
            </w:pPr>
            <w:r>
              <w:rPr>
                <w:color w:val="000000"/>
                <w:sz w:val="15"/>
                <w:szCs w:val="15"/>
              </w:rPr>
              <w:t xml:space="preserve">Productos_catalogo</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Categoría, subcategoría, proveedor, antigüedad y precio relativo; define los discontinuados. Precio, costo y margen absolutos no se usan: son el valor actual (P10).</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Ordenes_Compra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El EDA ubica el problema en la compra, no en la tienda: las OC recibidas y pendientes anticipan el sobrestock. Accionable por Compras.</w:t>
            </w:r>
          </w:p>
        </w:tc>
      </w:tr>
      <w:tr>
        <w:tc>
          <w:tcPr>
            <w:tcW w:type="dxa" w:w="2600"/>
            <w:tcMar>
              <w:top w:type="dxa" w:w="50"/>
              <w:left w:type="dxa" w:w="80"/>
              <w:bottom w:type="dxa" w:w="50"/>
              <w:right w:type="dxa" w:w="80"/>
            </w:tcMar>
          </w:tcPr>
          <w:p>
            <w:pPr>
              <w:spacing w:line="240"/>
              <w:jc w:val="left"/>
            </w:pPr>
            <w:r>
              <w:rPr>
                <w:color w:val="000000"/>
                <w:sz w:val="15"/>
                <w:szCs w:val="15"/>
              </w:rPr>
              <w:t xml:space="preserve">Stock_Deposito_Central</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Stock disponible para reponer; cubre 2026 sin problemas de calidad.</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Transferencias_Stock</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Movimientos entre tiendas y depósito; palanca de acción de la banda roja.</w:t>
            </w:r>
          </w:p>
        </w:tc>
      </w:tr>
      <w:tr>
        <w:tc>
          <w:tcPr>
            <w:tcW w:type="dxa" w:w="2600"/>
            <w:tcMar>
              <w:top w:type="dxa" w:w="50"/>
              <w:left w:type="dxa" w:w="80"/>
              <w:bottom w:type="dxa" w:w="50"/>
              <w:right w:type="dxa" w:w="80"/>
            </w:tcMar>
          </w:tcPr>
          <w:p>
            <w:pPr>
              <w:spacing w:line="240"/>
              <w:jc w:val="left"/>
            </w:pPr>
            <w:r>
              <w:rPr>
                <w:color w:val="000000"/>
                <w:sz w:val="15"/>
                <w:szCs w:val="15"/>
              </w:rPr>
              <w:t xml:space="preserve">Liquidaciones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Acción comercial ya tomada. Riesgo de sesgo: refleja decisiones pasadas, no demanda (H7).</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Promociones_Comerciales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Contexto comercial por categoría. Se excluyen las promociones duplicadas, con fechas invertidas o con descuento fuera de rango (H9, H10).</w:t>
            </w:r>
          </w:p>
        </w:tc>
      </w:tr>
      <w:tr>
        <w:tc>
          <w:tcPr>
            <w:tcW w:type="dxa" w:w="2600"/>
            <w:tcMar>
              <w:top w:type="dxa" w:w="50"/>
              <w:left w:type="dxa" w:w="80"/>
              <w:bottom w:type="dxa" w:w="50"/>
              <w:right w:type="dxa" w:w="80"/>
            </w:tcMar>
          </w:tcPr>
          <w:p>
            <w:pPr>
              <w:spacing w:line="240"/>
              <w:jc w:val="left"/>
            </w:pPr>
            <w:r>
              <w:rPr>
                <w:color w:val="000000"/>
                <w:sz w:val="15"/>
                <w:szCs w:val="15"/>
              </w:rPr>
              <w:t xml:space="preserve">Proveedores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Lead time y pedido mínimo, más el proveedor como categórica: el EDA ubica el problema en la compra y Compras puede actuar por proveedor.</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Tiendas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Región, formato y m² como segmentación, no accionables. Se descarta la antigüedad por H3.</w:t>
            </w:r>
          </w:p>
        </w:tc>
      </w:tr>
      <w:tr>
        <w:tc>
          <w:tcPr>
            <w:tcW w:type="dxa" w:w="2600"/>
            <w:tcMar>
              <w:top w:type="dxa" w:w="50"/>
              <w:left w:type="dxa" w:w="80"/>
              <w:bottom w:type="dxa" w:w="50"/>
              <w:right w:type="dxa" w:w="80"/>
            </w:tcMar>
          </w:tcPr>
          <w:p>
            <w:pPr>
              <w:spacing w:line="240"/>
              <w:jc w:val="left"/>
            </w:pPr>
            <w:r>
              <w:rPr>
                <w:color w:val="000000"/>
                <w:sz w:val="15"/>
                <w:szCs w:val="15"/>
              </w:rPr>
              <w:t xml:space="preserve">Calendario</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No cubre 2026 (H12). Los eventos que marca (Hot Sale en junio, Black Friday en noviembre, Navidad en diciembre) son fijos: se derivan de la fecha para mirar el horizonte sin depender del archivo.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Historial_Precios_SKU</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Es una reconstrucción retroactiva, no un registro (P9-P10); no concuerda con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Devoluciones_SKU</w:t>
            </w:r>
          </w:p>
        </w:tc>
        <w:tc>
          <w:tcPr>
            <w:tcW w:type="dxa" w:w="1000"/>
            <w:tcMar>
              <w:top w:type="dxa" w:w="50"/>
              <w:left w:type="dxa" w:w="80"/>
              <w:bottom w:type="dxa" w:w="50"/>
              <w:right w:type="dxa" w:w="80"/>
            </w:tcMar>
          </w:tcPr>
          <w:p>
            <w:pPr>
              <w:spacing w:line="240"/>
              <w:jc w:val="left"/>
            </w:pPr>
            <w:r>
              <w:rPr>
                <w:color w:val="000000"/>
                <w:sz w:val="15"/>
                <w:szCs w:val="15"/>
              </w:rPr>
              <w:t xml:space="preserve">Baja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Ya está neteada en Ventas; no cubre 2026 (H12) y generaría una feature que se apaga en el test.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Presupuesto_Ventas_Tienda_Categoria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Parcial</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Solo el cumplimiento de los últimos 3 meses de la tienda-categoría, sin celdas inválidas (H9). El presupuesto futuro se descarta por riesgo de leakage (ver abajo).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Costo_almacenamiento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Constante por categoría: redundante con la categoría. Se usa para valuar el costo de mantener stock, no como feature.</w:t>
            </w:r>
          </w:p>
        </w:tc>
      </w:tr>
    </w:tbl>
    <w:p>
      <w:pPr>
        <w:spacing w:after="110" w:line="276" w:before="160"/>
        <w:jc w:val="both"/>
      </w:pPr>
      <w:r>
        <w:rPr>
          <w:b/>
          <w:bCs/>
          <w:sz w:val="21"/>
          <w:szCs w:val="21"/>
        </w:rPr>
        <w:t xml:space="preserve">Riesgos de sesgo. </w:t>
      </w:r>
      <w:r>
        <w:rPr>
          <w:sz w:val="21"/>
          <w:szCs w:val="21"/>
        </w:rPr>
        <w:t xml:space="preserve">El historial refleja decisiones pasadas de Casa Óga. Las liquidaciones y transferencias se hicieron caso por caso y sin protocolo: el modelo puede aprender que una posición liquidada deja de ser riesgo porque alguien ya actuó, no porque la demanda se recuperó. Además, el stock de algunas posiciones tiene errores de sincronización (H4, H5) que distorsionan su rotación. Se mitiga con la partición temporal y revisando la importancia de las variables de acción comercial antes de usar el modelo.</w:t>
      </w:r>
    </w:p>
    <w:p>
      <w:pPr>
        <w:spacing w:after="70" w:before="180"/>
      </w:pPr>
      <w:r>
        <w:rPr>
          <w:b/>
          <w:bCs/>
          <w:sz w:val="21"/>
          <w:szCs w:val="21"/>
        </w:rPr>
        <w:t xml:space="preserve">Variables excluidas</w:t>
      </w:r>
    </w:p>
    <w:p>
      <w:pPr>
        <w:spacing w:after="110" w:line="276"/>
        <w:jc w:val="both"/>
      </w:pPr>
      <w:r>
        <w:rPr>
          <w:sz w:val="21"/>
          <w:szCs w:val="21"/>
        </w:rPr>
        <w:t xml:space="preserve">Toda variable candidata que no entró al dataset tiene un motivo explícito. La regla central: al predecir en el mes t solo se puede usar lo que Casa Óga conoce al cierre de 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Variable o 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Motivo</w:t>
            </w:r>
          </w:p>
        </w:tc>
        <w:tc>
          <w:tcPr>
            <w:tcW w:type="dxa" w:w="5400"/>
            <w:gridSpan w:val="2"/>
            <w:shd w:fill="1F3864" w:color="auto" w:val="clear"/>
            <w:tcMar>
              <w:top w:type="dxa" w:w="50"/>
              <w:left w:type="dxa" w:w="80"/>
              <w:bottom w:type="dxa" w:w="50"/>
              <w:right w:type="dxa" w:w="80"/>
            </w:tcMar>
          </w:tcPr>
          <w:p>
            <w:pPr>
              <w:spacing w:line="240"/>
              <w:jc w:val="left"/>
            </w:pPr>
            <w:r>
              <w:rPr>
                <w:b/>
                <w:bCs/>
                <w:color w:val="FFFFFF"/>
                <w:sz w:val="15"/>
                <w:szCs w:val="15"/>
              </w:rPr>
              <w:t xml:space="preserve">Detalle</w:t>
            </w:r>
          </w:p>
        </w:tc>
      </w:tr>
      <w:tr>
        <w:tc>
          <w:tcPr>
            <w:tcW w:type="dxa" w:w="2600"/>
            <w:tcMar>
              <w:top w:type="dxa" w:w="50"/>
              <w:left w:type="dxa" w:w="80"/>
              <w:bottom w:type="dxa" w:w="50"/>
              <w:right w:type="dxa" w:w="80"/>
            </w:tcMar>
          </w:tcPr>
          <w:p>
            <w:pPr>
              <w:spacing w:line="240"/>
              <w:jc w:val="left"/>
            </w:pPr>
            <w:r>
              <w:rPr>
                <w:color w:val="000000"/>
                <w:sz w:val="15"/>
                <w:szCs w:val="15"/>
              </w:rPr>
              <w:t xml:space="preserve">Ventas y stock de t+1 a t+3</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Son los datos con los que se construye el target.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Liquidaciones, transferencias y OC posteriores a t</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Son reacciones al sobrestock que el modelo tiene que anticipar. Solo se usan las ocurridas hasta t y las OC ya pedidas y pendientes.</w:t>
            </w:r>
          </w:p>
        </w:tc>
      </w:tr>
      <w:tr>
        <w:tc>
          <w:tcPr>
            <w:tcW w:type="dxa" w:w="2600"/>
            <w:tcMar>
              <w:top w:type="dxa" w:w="50"/>
              <w:left w:type="dxa" w:w="80"/>
              <w:bottom w:type="dxa" w:w="50"/>
              <w:right w:type="dxa" w:w="80"/>
            </w:tcMar>
          </w:tcPr>
          <w:p>
            <w:pPr>
              <w:spacing w:line="240"/>
              <w:jc w:val="left"/>
            </w:pPr>
            <w:r>
              <w:rPr>
                <w:color w:val="000000"/>
                <w:sz w:val="15"/>
                <w:szCs w:val="15"/>
              </w:rPr>
              <w:t xml:space="preserve">Estado del catálogo (Activo / Discontinuado)</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Es una foto del catálogo actual: aplicada a meses pasados revela qué productos se discontinuaron después. Solo se usa una fecha de baja anterior o igual a 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 de t+1 a t+3</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 actualiza mes a mes con la venta real (P31), por lo que puede contener lo que se quiere predecir.</w:t>
            </w:r>
          </w:p>
        </w:tc>
      </w:tr>
      <w:tr>
        <w:tc>
          <w:tcPr>
            <w:tcW w:type="dxa" w:w="2600"/>
            <w:tcMar>
              <w:top w:type="dxa" w:w="50"/>
              <w:left w:type="dxa" w:w="80"/>
              <w:bottom w:type="dxa" w:w="50"/>
              <w:right w:type="dxa" w:w="80"/>
            </w:tcMar>
          </w:tcPr>
          <w:p>
            <w:pPr>
              <w:spacing w:line="240"/>
              <w:jc w:val="left"/>
            </w:pPr>
            <w:r>
              <w:rPr>
                <w:color w:val="000000"/>
                <w:sz w:val="15"/>
                <w:szCs w:val="15"/>
              </w:rPr>
              <w:t xml:space="preserve">Promociones que empiezan después de t</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hay evidencia de que se planifiquen con 3 meses de anticipación. Sí se usan los eventos de calendario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Antigüedad de la tienda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Seis tiendas venden antes de su fecha de apertura (H3). Se usa la antigüedad de la posición, que sale de los datos.</w:t>
            </w:r>
          </w:p>
        </w:tc>
      </w:tr>
      <w:tr>
        <w:tc>
          <w:tcPr>
            <w:tcW w:type="dxa" w:w="2600"/>
            <w:tcMar>
              <w:top w:type="dxa" w:w="50"/>
              <w:left w:type="dxa" w:w="80"/>
              <w:bottom w:type="dxa" w:w="50"/>
              <w:right w:type="dxa" w:w="80"/>
            </w:tcMar>
          </w:tcPr>
          <w:p>
            <w:pPr>
              <w:spacing w:line="240"/>
              <w:jc w:val="left"/>
            </w:pPr>
            <w:r>
              <w:rPr>
                <w:color w:val="000000"/>
                <w:sz w:val="15"/>
                <w:szCs w:val="15"/>
              </w:rPr>
              <w:t xml:space="preserve">Precio vigente según el historial</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historial es una reconstrucción retroactiva y no concuerda con las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Precio, costo y margen del catálogo (y capital, venta en pesos y descuento implícito derivados)</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catálogo guarda solo el valor actual (el sistema pisa el anterior, P10): aplicado a meses pasados es anacrónico, igual que el estado del catálogo. Se conserva solo el precio relativo a la subcategoría, que cambia poco con los ajustes de precio.</w:t>
            </w:r>
          </w:p>
        </w:tc>
      </w:tr>
      <w:tr>
        <w:tc>
          <w:tcPr>
            <w:tcW w:type="dxa" w:w="2600"/>
            <w:tcMar>
              <w:top w:type="dxa" w:w="50"/>
              <w:left w:type="dxa" w:w="80"/>
              <w:bottom w:type="dxa" w:w="50"/>
              <w:right w:type="dxa" w:w="80"/>
            </w:tcMar>
          </w:tcPr>
          <w:p>
            <w:pPr>
              <w:spacing w:line="240"/>
              <w:jc w:val="left"/>
            </w:pPr>
            <w:r>
              <w:rPr>
                <w:color w:val="000000"/>
                <w:sz w:val="15"/>
                <w:szCs w:val="15"/>
              </w:rPr>
              <w:t xml:space="preserve">Stock en tránsito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Campo sin definición documentada (H6); su señal pasa de AUC 0,67 en train a 0,50 en 2026.</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Devoluciones por motivo o tasa de devolución</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No hay devoluciones en 2026 (H12): la variable valdría cero en todo el test. Las devoluciones ya están neteadas en la venta.</w:t>
            </w:r>
          </w:p>
        </w:tc>
      </w:tr>
      <w:tr>
        <w:tc>
          <w:tcPr>
            <w:tcW w:type="dxa" w:w="2600"/>
            <w:tcMar>
              <w:top w:type="dxa" w:w="50"/>
              <w:left w:type="dxa" w:w="80"/>
              <w:bottom w:type="dxa" w:w="50"/>
              <w:right w:type="dxa" w:w="80"/>
            </w:tcMar>
          </w:tcPr>
          <w:p>
            <w:pPr>
              <w:spacing w:line="240"/>
              <w:jc w:val="left"/>
            </w:pPr>
            <w:r>
              <w:rPr>
                <w:color w:val="000000"/>
                <w:sz w:val="15"/>
                <w:szCs w:val="15"/>
              </w:rPr>
              <w:t xml:space="preserve">Temporada y feriados del Calendario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cubre 2026 (H12). Se reemplaza por mes del año y eventos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 de 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Redundante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Es constante dentro de cada categoría: no agrega información a la categoría.</w:t>
            </w:r>
          </w:p>
        </w:tc>
      </w:tr>
      <w:tr>
        <w:tc>
          <w:tcPr>
            <w:tcW w:type="dxa" w:w="2600"/>
            <w:tcMar>
              <w:top w:type="dxa" w:w="50"/>
              <w:left w:type="dxa" w:w="80"/>
              <w:bottom w:type="dxa" w:w="50"/>
              <w:right w:type="dxa" w:w="80"/>
            </w:tcMar>
          </w:tcPr>
          <w:p>
            <w:pPr>
              <w:spacing w:line="240"/>
              <w:jc w:val="left"/>
            </w:pPr>
            <w:r>
              <w:rPr>
                <w:color w:val="000000"/>
                <w:sz w:val="15"/>
                <w:szCs w:val="15"/>
              </w:rPr>
              <w:t xml:space="preserve">Identificadores de tienda y SKU</w:t>
            </w:r>
          </w:p>
        </w:tc>
        <w:tc>
          <w:tcPr>
            <w:tcW w:type="dxa" w:w="1000"/>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modelo memorizaría posiciones y no podría puntuar SKUs nuevos.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Marca de costo imputado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Los 22 SKUs sin costo no aparecen en train: sería una columna constante. Queda como marca de control (P2).</w:t>
            </w:r>
          </w:p>
        </w:tc>
      </w:tr>
      <w:tr>
        <w:tc>
          <w:tcPr>
            <w:tcW w:type="dxa" w:w="2600"/>
            <w:tcMar>
              <w:top w:type="dxa" w:w="50"/>
              <w:left w:type="dxa" w:w="80"/>
              <w:bottom w:type="dxa" w:w="50"/>
              <w:right w:type="dxa" w:w="80"/>
            </w:tcMar>
          </w:tcPr>
          <w:p>
            <w:pPr>
              <w:spacing w:line="240"/>
              <w:jc w:val="left"/>
            </w:pPr>
            <w:r>
              <w:rPr>
                <w:color w:val="000000"/>
                <w:sz w:val="15"/>
                <w:szCs w:val="15"/>
              </w:rPr>
              <w:t xml:space="preserve">Datos de cliente o ticket</w:t>
            </w:r>
          </w:p>
        </w:tc>
        <w:tc>
          <w:tcPr>
            <w:tcW w:type="dxa" w:w="1000"/>
            <w:tcMar>
              <w:top w:type="dxa" w:w="50"/>
              <w:left w:type="dxa" w:w="80"/>
              <w:bottom w:type="dxa" w:w="50"/>
              <w:right w:type="dxa" w:w="80"/>
            </w:tcMar>
          </w:tcPr>
          <w:p>
            <w:pPr>
              <w:spacing w:line="240"/>
              <w:jc w:val="left"/>
            </w:pPr>
            <w:r>
              <w:rPr>
                <w:color w:val="000000"/>
                <w:sz w:val="15"/>
                <w:szCs w:val="15"/>
              </w:rPr>
              <w:t xml:space="preserve">No disponible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Ninguna de las 15 fuentes los tiene.</w:t>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sz w:val="21"/>
          <w:szCs w:val="21"/>
        </w:rPr>
        <w:t xml:space="preserve">Las transformaciones se aplican sobre el dataset ya corregido y se ajustan solo con el bloque de train, para que la validación y el test no aporten información al preprocesamiento. Se generan dos versiones: una sin transformar, para modelos de árboles, y otra transformada, para una regresión logística prevista como línea base explicable (el negocio exige explicabilidad).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color w:val="000000"/>
                <w:sz w:val="15"/>
                <w:szCs w:val="15"/>
              </w:rPr>
              <w:t xml:space="preserve">Variables continuas de demanda, stock, abastecimiento y contexto (37)</w:t>
            </w:r>
          </w:p>
        </w:tc>
        <w:tc>
          <w:tcPr>
            <w:tcW w:type="dxa" w:w="2200"/>
            <w:tcMar>
              <w:top w:type="dxa" w:w="50"/>
              <w:left w:type="dxa" w:w="80"/>
              <w:bottom w:type="dxa" w:w="50"/>
              <w:right w:type="dxa" w:w="80"/>
            </w:tcMar>
          </w:tcPr>
          <w:p>
            <w:pPr>
              <w:spacing w:line="240"/>
              <w:jc w:val="left"/>
            </w:pPr>
            <w:r>
              <w:rPr>
                <w:color w:val="000000"/>
                <w:sz w:val="15"/>
                <w:szCs w:val="15"/>
              </w:rPr>
              <w:t xml:space="preserve">Winsorización al percentil 1 y 99, con límites calculados solo en train.</w:t>
            </w:r>
          </w:p>
        </w:tc>
        <w:tc>
          <w:tcPr>
            <w:tcW w:type="dxa" w:w="2000"/>
            <w:tcMar>
              <w:top w:type="dxa" w:w="50"/>
              <w:left w:type="dxa" w:w="80"/>
              <w:bottom w:type="dxa" w:w="50"/>
              <w:right w:type="dxa" w:w="80"/>
            </w:tcMar>
          </w:tcPr>
          <w:p>
            <w:pPr>
              <w:spacing w:line="240"/>
              <w:jc w:val="left"/>
            </w:pPr>
            <w:r>
              <w:rPr>
                <w:color w:val="000000"/>
                <w:sz w:val="15"/>
                <w:szCs w:val="15"/>
              </w:rPr>
              <w:t xml:space="preserve">Colas largas: la cobertura tiene percentil 99 de 15 meses y máximo de 84. No se eliminan filas porque el EDA mostró que es asimetría real, no error (los errores ya se corrigieron en la sección 1). No se aplica a conteos con pocos valores, donde el percentil 99 anularía la variable.</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24 variables con asimetría &gt; 1 en train: stock, cobertura, OC, transferencias, liquidaciones, promociones, meses sin venta, coeficiente de variación, entre otras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log(1 + x). Las variaciones de stock y de cobertura admiten negativos: logaritmo con signo.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Reduce el peso de los extremos y acerca las distribuciones a la simetría (la cobertura tenía asimetría 3,98).</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color w:val="000000"/>
                <w:sz w:val="15"/>
                <w:szCs w:val="15"/>
              </w:rPr>
              <w:t xml:space="preserve">Todas las numéricas continuas</w:t>
            </w:r>
          </w:p>
        </w:tc>
        <w:tc>
          <w:tcPr>
            <w:tcW w:type="dxa" w:w="2200"/>
            <w:tcMar>
              <w:top w:type="dxa" w:w="50"/>
              <w:left w:type="dxa" w:w="80"/>
              <w:bottom w:type="dxa" w:w="50"/>
              <w:right w:type="dxa" w:w="80"/>
            </w:tcMar>
          </w:tcPr>
          <w:p>
            <w:pPr>
              <w:spacing w:line="240"/>
              <w:jc w:val="left"/>
            </w:pPr>
            <w:r>
              <w:rPr>
                <w:color w:val="000000"/>
                <w:sz w:val="15"/>
                <w:szCs w:val="15"/>
              </w:rPr>
              <w:t xml:space="preserve">Estandarización (media 0, desvío 1) con media y desvío de train.</w:t>
            </w:r>
          </w:p>
        </w:tc>
        <w:tc>
          <w:tcPr>
            <w:tcW w:type="dxa" w:w="2000"/>
            <w:tcMar>
              <w:top w:type="dxa" w:w="50"/>
              <w:left w:type="dxa" w:w="80"/>
              <w:bottom w:type="dxa" w:w="50"/>
              <w:right w:type="dxa" w:w="80"/>
            </w:tcMar>
          </w:tcPr>
          <w:p>
            <w:pPr>
              <w:spacing w:line="240"/>
              <w:jc w:val="left"/>
            </w:pPr>
            <w:r>
              <w:rPr>
                <w:color w:val="000000"/>
                <w:sz w:val="15"/>
                <w:szCs w:val="15"/>
              </w:rPr>
              <w:t xml:space="preserve">Las escalas son muy distintas (precios en decenas de miles, conteos de 0 a 12). Lo necesita la regresión logística regularizada prevista como línea base. Los modelos de árboles usan la versión sin transformar.</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Categoría (7), subcategoría (25), región (5), formato (3), proveedor (10)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One-hot.</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Son nominales: el label encoding impondría un orden que no existe. Los identificadores de tienda y SKU no se codifican para que el modelo no memorice posiciones.</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color w:val="000000"/>
                <w:sz w:val="15"/>
                <w:szCs w:val="15"/>
              </w:rPr>
              <w:t xml:space="preserve">Fecha de corte y fecha de alta del SKU</w:t>
            </w:r>
          </w:p>
        </w:tc>
        <w:tc>
          <w:tcPr>
            <w:tcW w:type="dxa" w:w="2200"/>
            <w:tcMar>
              <w:top w:type="dxa" w:w="50"/>
              <w:left w:type="dxa" w:w="80"/>
              <w:bottom w:type="dxa" w:w="50"/>
              <w:right w:type="dxa" w:w="80"/>
            </w:tcMar>
          </w:tcPr>
          <w:p>
            <w:pPr>
              <w:spacing w:line="240"/>
              <w:jc w:val="left"/>
            </w:pPr>
            <w:r>
              <w:rPr>
                <w:color w:val="000000"/>
                <w:sz w:val="15"/>
                <w:szCs w:val="15"/>
              </w:rPr>
              <w:t xml:space="preserve">Mes del año como seno y coseno. Antigüedad del SKU en meses. Ventanas móviles de 3, 6 y 12 meses, meses consecutivos sin venta, variación del stock a 3 meses.</w:t>
            </w:r>
          </w:p>
        </w:tc>
        <w:tc>
          <w:tcPr>
            <w:tcW w:type="dxa" w:w="2000"/>
            <w:tcMar>
              <w:top w:type="dxa" w:w="50"/>
              <w:left w:type="dxa" w:w="80"/>
              <w:bottom w:type="dxa" w:w="50"/>
              <w:right w:type="dxa" w:w="80"/>
            </w:tcMar>
          </w:tcPr>
          <w:p>
            <w:pPr>
              <w:spacing w:line="240"/>
              <w:jc w:val="left"/>
            </w:pPr>
            <w:r>
              <w:rPr>
                <w:color w:val="000000"/>
                <w:sz w:val="15"/>
                <w:szCs w:val="15"/>
              </w:rPr>
              <w:t xml:space="preserve">La codificación cíclica mantiene diciembre junto a enero. Las ventanas resumen la trayectoria de la posición, que es lo que anticipa el riesgo. El mes se incluye para que el modelo verifique la estacionalidad que percibe el negocio y que el EDA no confirma.</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Ratios sin denominador (posiciones sin venta), variación y cobertura de hace 3 meses en posiciones con menos de 4 meses (8.176 filas), meses desde la última OC (50.103 filas sin OC previa), cumplimiento presupuestario sin presupuesto válido, eventos inexistentes.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Coberturas con tope de 60 meses más el indicador sin venta; cobertura de hace 3 meses igual a la actual cuando no hay dato (sin cambio); meses desde la última OC con tope de 60; tendencias en 1 (neutro) y proporciones en 0; cumplimiento y cobertura de depósito con la mediana de train; eventos ausentes en 0.</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El faltante no es un dato perdido: es un denominador en cero o la ausencia del evento. El indicador conserva esa información. El costo de los 22 SKUs ya se resolvió en la sección 1 y queda marcado con costo_imputado.</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color w:val="000000"/>
                <w:sz w:val="15"/>
                <w:szCs w:val="15"/>
              </w:rPr>
              <w:t xml:space="preserve">Target</w:t>
            </w:r>
          </w:p>
        </w:tc>
        <w:tc>
          <w:tcPr>
            <w:tcW w:type="dxa" w:w="2200"/>
            <w:tcMar>
              <w:top w:type="dxa" w:w="50"/>
              <w:left w:type="dxa" w:w="80"/>
              <w:bottom w:type="dxa" w:w="50"/>
              <w:right w:type="dxa" w:w="80"/>
            </w:tcMar>
          </w:tcPr>
          <w:p>
            <w:pPr>
              <w:spacing w:line="240"/>
              <w:jc w:val="left"/>
            </w:pPr>
            <w:r>
              <w:rPr>
                <w:color w:val="000000"/>
                <w:sz w:val="15"/>
                <w:szCs w:val="15"/>
              </w:rPr>
              <w:t xml:space="preserve">Sin sobremuestreo. Ponderación de clases (peso de la clase positiva ≈ 39, calculado en train) y umbral de decisión elegido en validación para priorizar recall.</w:t>
            </w:r>
          </w:p>
        </w:tc>
        <w:tc>
          <w:tcPr>
            <w:tcW w:type="dxa" w:w="2000"/>
            <w:tcMar>
              <w:top w:type="dxa" w:w="50"/>
              <w:left w:type="dxa" w:w="80"/>
              <w:bottom w:type="dxa" w:w="50"/>
              <w:right w:type="dxa" w:w="80"/>
            </w:tcMar>
          </w:tcPr>
          <w:p>
            <w:pPr>
              <w:spacing w:line="240"/>
              <w:jc w:val="left"/>
            </w:pPr>
            <w:r>
              <w:rPr>
                <w:color w:val="000000"/>
                <w:sz w:val="15"/>
                <w:szCs w:val="15"/>
              </w:rPr>
              <w:t xml:space="preserve">La prevalencia en train es 2,5%. SMOTE crearía posiciones sintéticas que mezclan meses y rompería la estructura temporal. El negocio prioriza recall.</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Otra: prevención de data leakage</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Todas las features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Ventanas cerradas en t. OC pendientes = pedidas y no recibidas al cierre de t. Transformaciones ajustadas solo en train. Embargo de 3 meses entre bloques. Discontinuados fuera del universo.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Garantiza que el modelo use solo información disponible al momento de predecir.</w:t>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2026-09-25T17:14:24.567Z</dcterms:created>
  <dcterms:modified xsi:type="dcterms:W3CDTF">2026-09-25T17:14:24.580Z</dcterms:modified>
</cp:coreProperties>
</file>

<file path=docProps/custom.xml><?xml version="1.0" encoding="utf-8"?>
<Properties xmlns="http://schemas.openxmlformats.org/officeDocument/2006/custom-properties" xmlns:vt="http://schemas.openxmlformats.org/officeDocument/2006/docPropsVTypes"/>
</file>