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before="160"/>
        <w:jc w:val="center"/>
      </w:pPr>
      <w:r>
        <w:rPr>
          <w:color w:val="808080"/>
          <w:sz w:val="20"/>
          <w:szCs w:val="20"/>
        </w:rPr>
        <w:t xml:space="preserve">Factibilidad de Proyectos Data Driven — 2C 2026</w:t>
      </w:r>
    </w:p>
    <w:p>
      <w:pPr>
        <w:spacing w:after="220"/>
        <w:jc w:val="center"/>
      </w:pPr>
      <w:r>
        <w:rPr>
          <w:color w:val="808080"/>
          <w:sz w:val="20"/>
          <w:szCs w:val="20"/>
        </w:rPr>
        <w:t xml:space="preserve">Entregable Nro 2</w:t>
      </w:r>
    </w:p>
    <w:p>
      <w:pPr>
        <w:spacing w:after="50" w:before="140"/>
        <w:jc w:val="center"/>
      </w:pPr>
      <w:r>
        <w:rPr>
          <w:b/>
          <w:bCs/>
          <w:sz w:val="38"/>
          <w:szCs w:val="38"/>
        </w:rPr>
        <w:t xml:space="preserve">Casa Óga · Retail de Hogar y Decoración</w:t>
      </w:r>
    </w:p>
    <w:p>
      <w:pPr>
        <w:spacing w:after="280"/>
        <w:jc w:val="center"/>
      </w:pPr>
      <w:r>
        <w:rPr>
          <w:color w:val="C0504D"/>
          <w:sz w:val="24"/>
          <w:szCs w:val="24"/>
        </w:rPr>
        <w:t xml:space="preserve">Entregable 2 · Parte B — Corrección de Datos y Preparación de Datos para el Modelo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00"/>
      </w:tblGrid>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Integrante(s)</w:t>
            </w:r>
          </w:p>
        </w:tc>
        <w:tc>
          <w:tcPr>
            <w:tcW w:type="dxa" w:w="4200"/>
            <w:tcMar>
              <w:top w:type="dxa" w:w="50"/>
              <w:left w:type="dxa" w:w="80"/>
              <w:bottom w:type="dxa" w:w="50"/>
              <w:right w:type="dxa" w:w="80"/>
            </w:tcMar>
          </w:tcPr>
          <w:p>
            <w:pPr>
              <w:spacing w:line="240"/>
              <w:jc w:val="left"/>
            </w:pPr>
            <w:r>
              <w:rPr>
                <w:b/>
                <w:bCs/>
                <w:color w:val="000000"/>
                <w:sz w:val="19"/>
                <w:szCs w:val="19"/>
              </w:rPr>
              <w:t xml:space="preserve">Nombre y legajo</w:t>
            </w:r>
          </w:p>
        </w:tc>
        <w:tc>
          <w:tcPr>
            <w:tcW w:type="dxa" w:w="2800"/>
            <w:tcMar>
              <w:top w:type="dxa" w:w="50"/>
              <w:left w:type="dxa" w:w="80"/>
              <w:bottom w:type="dxa" w:w="50"/>
              <w:right w:type="dxa" w:w="80"/>
            </w:tcMar>
          </w:tcPr>
          <w:p>
            <w:pPr>
              <w:spacing w:line="240"/>
              <w:jc w:val="left"/>
            </w:pPr>
            <w:r>
              <w:rPr>
                <w:b/>
                <w:bCs/>
                <w:color w:val="000000"/>
                <w:sz w:val="19"/>
                <w:szCs w:val="19"/>
              </w:rPr>
              <w:t xml:space="preserve">Rol asignado en esta fase</w:t>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Gerónimo Fasce — 64401</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Gianfranco Di Claudio — 64505</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Matías Fleischer — 65616</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Simón Volpato Escandarani — [legajo]</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
            </w:r>
          </w:p>
        </w:tc>
      </w:tr>
      <w:tr>
        <w:tc>
          <w:tcPr>
            <w:tcW w:type="dxa" w:w="20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Santiago Javier Hernández — [legajo]</w:t>
            </w:r>
          </w:p>
        </w:tc>
        <w:tc>
          <w:tcPr>
            <w:tcW w:type="dxa" w:w="2800"/>
            <w:tcMar>
              <w:top w:type="dxa" w:w="50"/>
              <w:left w:type="dxa" w:w="80"/>
              <w:bottom w:type="dxa" w:w="50"/>
              <w:right w:type="dxa" w:w="80"/>
            </w:tcMar>
          </w:tcPr>
          <w:p>
            <w:pPr>
              <w:spacing w:line="240"/>
              <w:jc w:val="left"/>
            </w:pPr>
            <w:r>
              <w:rPr>
                <w:b w:val="false"/>
                <w:bCs w:val="false"/>
                <w:color w:val="000000"/>
                <w:sz w:val="19"/>
                <w:szCs w:val="19"/>
              </w:rPr>
              <w:t xml:space="preserve">Dashboard y visualización</w:t>
            </w:r>
          </w:p>
        </w:tc>
      </w:tr>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Fecha de entrega</w:t>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__/__/2026</w:t>
            </w:r>
          </w:p>
        </w:tc>
        <w:tc>
          <w:tcPr>
            <w:tcW w:type="dxa" w:w="2800"/>
            <w:tcMar>
              <w:top w:type="dxa" w:w="50"/>
              <w:left w:type="dxa" w:w="80"/>
              <w:bottom w:type="dxa" w:w="50"/>
              <w:right w:type="dxa" w:w="80"/>
            </w:tcMar>
          </w:tcPr>
          <w:p>
            <w:pPr>
              <w:spacing w:line="240"/>
              <w:jc w:val="left"/>
            </w:pPr>
            <w:r>
              <w:rPr>
                <w:b w:val="false"/>
                <w:bCs w:val="false"/>
                <w:color w:val="000000"/>
                <w:sz w:val="17"/>
                <w:szCs w:val="17"/>
              </w:rPr>
              <w:t xml:space="preserve"/>
            </w:r>
          </w:p>
        </w:tc>
      </w:tr>
      <w:tr>
        <w:tc>
          <w:tcPr>
            <w:tcW w:type="dxa" w:w="2000"/>
            <w:shd w:fill="F2F2F2" w:color="auto" w:val="clear"/>
            <w:tcMar>
              <w:top w:type="dxa" w:w="50"/>
              <w:left w:type="dxa" w:w="80"/>
              <w:bottom w:type="dxa" w:w="50"/>
              <w:right w:type="dxa" w:w="80"/>
            </w:tcMar>
          </w:tcPr>
          <w:p>
            <w:pPr>
              <w:spacing w:line="240"/>
              <w:jc w:val="left"/>
            </w:pPr>
            <w:r>
              <w:rPr>
                <w:b/>
                <w:bCs/>
                <w:color w:val="000000"/>
                <w:sz w:val="19"/>
                <w:szCs w:val="19"/>
              </w:rPr>
              <w:t xml:space="preserve">Versión</w:t>
            </w:r>
          </w:p>
        </w:tc>
        <w:tc>
          <w:tcPr>
            <w:tcW w:type="dxa" w:w="4200"/>
            <w:tcMar>
              <w:top w:type="dxa" w:w="50"/>
              <w:left w:type="dxa" w:w="80"/>
              <w:bottom w:type="dxa" w:w="50"/>
              <w:right w:type="dxa" w:w="80"/>
            </w:tcMar>
          </w:tcPr>
          <w:p>
            <w:pPr>
              <w:spacing w:line="240"/>
              <w:jc w:val="left"/>
            </w:pPr>
            <w:r>
              <w:rPr>
                <w:b w:val="false"/>
                <w:bCs w:val="false"/>
                <w:color w:val="000000"/>
                <w:sz w:val="19"/>
                <w:szCs w:val="19"/>
              </w:rPr>
              <w:t xml:space="preserve">v1.0</w:t>
            </w:r>
          </w:p>
        </w:tc>
        <w:tc>
          <w:tcPr>
            <w:tcW w:type="dxa" w:w="2800"/>
            <w:tcMar>
              <w:top w:type="dxa" w:w="50"/>
              <w:left w:type="dxa" w:w="80"/>
              <w:bottom w:type="dxa" w:w="50"/>
              <w:right w:type="dxa" w:w="80"/>
            </w:tcMar>
          </w:tcPr>
          <w:p>
            <w:pPr>
              <w:spacing w:line="240"/>
              <w:jc w:val="left"/>
            </w:pPr>
            <w:r>
              <w:rPr>
                <w:b w:val="false"/>
                <w:bCs w:val="false"/>
                <w:color w:val="000000"/>
                <w:sz w:val="17"/>
                <w:szCs w:val="17"/>
              </w:rPr>
              <w:t xml:space="preserve"/>
            </w:r>
          </w:p>
        </w:tc>
      </w:tr>
    </w:tbl>
    <w:p>
      <w:pPr>
        <w:pStyle w:val="Heading1"/>
        <w:shd w:fill="F2F2F2" w:color="auto" w:val="clear"/>
        <w:spacing w:after="150" w:before="300"/>
      </w:pPr>
      <w:r>
        <w:rPr>
          <w:b/>
          <w:bCs/>
          <w:sz w:val="28"/>
          <w:szCs w:val="28"/>
        </w:rPr>
        <w:t xml:space="preserve">Sección 1 · Hallazgos y Plan de Mejora de Calidad</w:t>
      </w:r>
    </w:p>
    <w:p>
      <w:pPr>
        <w:pStyle w:val="Heading2"/>
        <w:spacing w:after="90" w:before="220"/>
      </w:pPr>
      <w:r>
        <w:rPr>
          <w:b/>
          <w:bCs/>
          <w:color w:val="C0504D"/>
          <w:sz w:val="22"/>
          <w:szCs w:val="22"/>
        </w:rPr>
        <w:t xml:space="preserve">1.1 Hallazgos y Gaps de Calidad</w:t>
      </w:r>
    </w:p>
    <w:p>
      <w:pPr>
        <w:spacing w:after="110" w:line="276"/>
        <w:jc w:val="both"/>
      </w:pPr>
      <w:r>
        <w:rPr>
          <w:sz w:val="21"/>
          <w:szCs w:val="21"/>
        </w:rPr>
        <w:t xml:space="preserve">La evaluación se realizó sobre las 15 fuentes de datos del caso, con corte en agosto de 2026. Los datos de 2026 llegaron en una segunda entrega: son los mismos archivos con los meses nuevos agregados, y se verificó que el tramo 2022-2025 quedó idéntico al de la primera entrega, por lo que el diagnóstico previo sigue vigente. Las respuestas del negocio a la segunda ronda de consultas confirmaron las causas de varios hallazgos y definieron criterios de tratamiento, que se incorporan a continuación.</w:t>
      </w:r>
    </w:p>
    <w:p>
      <w:pPr>
        <w:spacing w:after="110" w:line="276"/>
        <w:jc w:val="both"/>
      </w:pPr>
      <w:r>
        <w:rPr>
          <w:sz w:val="21"/>
          <w:szCs w:val="21"/>
        </w:rPr>
        <w:t xml:space="preserve">Se identificaron doce hallazgos abiertos y dos ya resueltos durante la normalización de los datasets. Un dato transversal orienta la lectura: los problemas de unicidad, exactitud y validez están concentrados en el tramo 2022-2025. Las 60.064 filas incorporadas en 2026 no presentan duplicados, valores negativos ni nulos en Ventas ni en Stock.</w:t>
      </w:r>
    </w:p>
    <w:p>
      <w:pPr>
        <w:spacing w:after="70" w:before="180"/>
      </w:pPr>
      <w:r>
        <w:rPr>
          <w:b/>
          <w:bCs/>
          <w:sz w:val="21"/>
          <w:szCs w:val="21"/>
        </w:rPr>
        <w:t xml:space="preserve">Hallazgos identificados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2700"/>
        <w:gridCol w:w="1900"/>
        <w:gridCol w:w="1500"/>
        <w:gridCol w:w="1500"/>
        <w:gridCol w:w="900"/>
      </w:tblGrid>
      <w:tr>
        <w:trPr>
          <w:tblHeader/>
        </w:trPr>
        <w:tc>
          <w:tcPr>
            <w:tcW w:type="dxa" w:w="500"/>
            <w:shd w:fill="1F3864" w:color="auto" w:val="clear"/>
            <w:tcMar>
              <w:top w:type="dxa" w:w="50"/>
              <w:left w:type="dxa" w:w="80"/>
              <w:bottom w:type="dxa" w:w="50"/>
              <w:right w:type="dxa" w:w="80"/>
            </w:tcMar>
          </w:tcPr>
          <w:p>
            <w:pPr>
              <w:spacing w:line="240"/>
              <w:jc w:val="left"/>
            </w:pPr>
            <w:r>
              <w:rPr>
                <w:b/>
                <w:bCs/>
                <w:color w:val="FFFFFF"/>
                <w:sz w:val="14"/>
                <w:szCs w:val="14"/>
              </w:rPr>
              <w:t xml:space="preserve">ID</w:t>
            </w:r>
          </w:p>
        </w:tc>
        <w:tc>
          <w:tcPr>
            <w:tcW w:type="dxa" w:w="2700"/>
            <w:shd w:fill="1F3864" w:color="auto" w:val="clear"/>
            <w:tcMar>
              <w:top w:type="dxa" w:w="50"/>
              <w:left w:type="dxa" w:w="80"/>
              <w:bottom w:type="dxa" w:w="50"/>
              <w:right w:type="dxa" w:w="80"/>
            </w:tcMar>
          </w:tcPr>
          <w:p>
            <w:pPr>
              <w:spacing w:line="240"/>
              <w:jc w:val="left"/>
            </w:pPr>
            <w:r>
              <w:rPr>
                <w:b/>
                <w:bCs/>
                <w:color w:val="FFFFFF"/>
                <w:sz w:val="14"/>
                <w:szCs w:val="14"/>
              </w:rPr>
              <w:t xml:space="preserve">Hallazgo</w:t>
            </w:r>
          </w:p>
        </w:tc>
        <w:tc>
          <w:tcPr>
            <w:tcW w:type="dxa" w:w="1900"/>
            <w:shd w:fill="1F3864" w:color="auto" w:val="clear"/>
            <w:tcMar>
              <w:top w:type="dxa" w:w="50"/>
              <w:left w:type="dxa" w:w="80"/>
              <w:bottom w:type="dxa" w:w="50"/>
              <w:right w:type="dxa" w:w="80"/>
            </w:tcMar>
          </w:tcPr>
          <w:p>
            <w:pPr>
              <w:spacing w:line="240"/>
              <w:jc w:val="left"/>
            </w:pPr>
            <w:r>
              <w:rPr>
                <w:b/>
                <w:bCs/>
                <w:color w:val="FFFFFF"/>
                <w:sz w:val="14"/>
                <w:szCs w:val="14"/>
              </w:rPr>
              <w:t xml:space="preserve">Fuentes afectadas</w:t>
            </w:r>
          </w:p>
        </w:tc>
        <w:tc>
          <w:tcPr>
            <w:tcW w:type="dxa" w:w="1500"/>
            <w:shd w:fill="1F3864" w:color="auto" w:val="clear"/>
            <w:tcMar>
              <w:top w:type="dxa" w:w="50"/>
              <w:left w:type="dxa" w:w="80"/>
              <w:bottom w:type="dxa" w:w="50"/>
              <w:right w:type="dxa" w:w="80"/>
            </w:tcMar>
          </w:tcPr>
          <w:p>
            <w:pPr>
              <w:spacing w:line="240"/>
              <w:jc w:val="left"/>
            </w:pPr>
            <w:r>
              <w:rPr>
                <w:b/>
                <w:bCs/>
                <w:color w:val="FFFFFF"/>
                <w:sz w:val="14"/>
                <w:szCs w:val="14"/>
              </w:rPr>
              <w:t xml:space="preserve">Dimensión</w:t>
            </w:r>
          </w:p>
        </w:tc>
        <w:tc>
          <w:tcPr>
            <w:tcW w:type="dxa" w:w="1500"/>
            <w:shd w:fill="1F3864" w:color="auto" w:val="clear"/>
            <w:tcMar>
              <w:top w:type="dxa" w:w="50"/>
              <w:left w:type="dxa" w:w="80"/>
              <w:bottom w:type="dxa" w:w="50"/>
              <w:right w:type="dxa" w:w="80"/>
            </w:tcMar>
          </w:tcPr>
          <w:p>
            <w:pPr>
              <w:spacing w:line="240"/>
              <w:jc w:val="left"/>
            </w:pPr>
            <w:r>
              <w:rPr>
                <w:b/>
                <w:bCs/>
                <w:color w:val="FFFFFF"/>
                <w:sz w:val="14"/>
                <w:szCs w:val="14"/>
              </w:rPr>
              <w:t xml:space="preserve">Magnitud</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Criticidad</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H1</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Combinaciones de clave (mes, tienda, SKU) duplicadas. En Ventas, 2.322 tienen valores distintos entre sí y 811 tienen un registro en cero. Se originan en H2.</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Ventas, Stock</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Unicidad</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2.378 en cada fuente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H2</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15 identificadores de producto cargados dos veces en el maestro, idénticos en todos sus atributos salvo el proveedor. El negocio confirmó que es un error del sistema, no un producto multi-proveedor. Es la causa raíz de H1.</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Productos_catalogo</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Unicidad</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15 SKUs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H3</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Ventas registradas con anterioridad a la fecha de apertura declarada de la tienda. El caso extremo (T25) acumula 36 meses previos por $773,4 M.</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Ventas, Tiendas</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Consistencia, Exactitud</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11.058 filas · $1.471,7 M · 6 tiendas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H4</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Valores negativos imposibles: unidades y monto negativos en simultáneo en Ventas, y stock disponible negativo. Las ventas negativas son devoluciones reales y coinciden una a una con Devoluciones_SKU; el stock negativo es un error de sincronización entre el POS y el sistema de inventario, confirmado por el negocio.</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Ventas, Stock</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Exactitud, Validez</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2.317 y 1.209 filas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H5</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Filas con venta mayor a cero y stock en cero el mismo mes, y filas con venta superior al stock disponible. Es el único hallazgo de consistencia que persiste en 2026.</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Ventas, Stock</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Consistencia</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1.020 y 5.727 filas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H6</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El campo de stock en tránsito no se concilia con las transferencias registradas. Las series están correlacionadas (0,89) pero difieren en escala nueve veces.</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Stock, Transferencias_Stock</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Consistencia</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8.771 vs 936 unidades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H7</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90 de las 108 liquidaciones con motivo «Discontinuación» corresponden a SKUs que figuran como Activos. Además, 12 registros usan «Todas» como tienda, que no es un identificador válido.</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Liquidaciones, Productos_catalogo</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Consistencia, Validez</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90 de 108 · 12 registros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H8</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El precio implícito de la venta supera en más de 1,5 veces al precio vigente según el historial en el 33% de las filas (máximo 5,4 veces). Las ventas parecen valuadas con el precio actual y no con el del período. Además, el historial es una reconstrucción retroactiva hecha para el proyecto: el sistema pisa el precio vigente y no guarda historia.</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Ventas, Historial_Precios_SKU</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Consistencia</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33% de las filas</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Crítica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H9</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Descuentos fuera del rango válido: 120%, −10% y 120% en Liquidaciones; 150% y −15% en Promociones. El presupuesto incluye además 3 valores negativos y 309 ceros. El negocio confirmó que los descuentos y los negativos son errores de carga, y los ceros, un proceso de presupuestación todavía inmaduro en 2022.</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Liquidaciones, Promociones, Presupuesto</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Validez, Exactitud</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5 descuentos · 3 negativos</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Media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H10</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Una fila exactamente duplicada y dos identificadores de promoción repetidos, uno de ellos con dos descuentos distintos. Dos promociones tienen fecha de fin anterior a la de inicio.</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Promociones_Comerciales</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Unicidad, Validez</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2 ids · 2 fechas</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Media</w:t>
            </w:r>
          </w:p>
        </w:tc>
      </w:tr>
      <w:tr>
        <w:tc>
          <w:tcPr>
            <w:tcW w:type="dxa" w:w="500"/>
            <w:tcMar>
              <w:top w:type="dxa" w:w="50"/>
              <w:left w:type="dxa" w:w="80"/>
              <w:bottom w:type="dxa" w:w="50"/>
              <w:right w:type="dxa" w:w="80"/>
            </w:tcMar>
          </w:tcPr>
          <w:p>
            <w:pPr>
              <w:spacing w:line="240"/>
              <w:jc w:val="left"/>
            </w:pPr>
            <w:r>
              <w:rPr>
                <w:b w:val="false"/>
                <w:bCs w:val="false"/>
                <w:color w:val="000000"/>
                <w:sz w:val="15"/>
                <w:szCs w:val="15"/>
              </w:rPr>
              <w:t xml:space="preserve">H11</w:t>
            </w:r>
          </w:p>
        </w:tc>
        <w:tc>
          <w:tcPr>
            <w:tcW w:type="dxa" w:w="2700"/>
            <w:tcMar>
              <w:top w:type="dxa" w:w="50"/>
              <w:left w:type="dxa" w:w="80"/>
              <w:bottom w:type="dxa" w:w="50"/>
              <w:right w:type="dxa" w:w="80"/>
            </w:tcMar>
          </w:tcPr>
          <w:p>
            <w:pPr>
              <w:spacing w:line="240"/>
              <w:jc w:val="left"/>
            </w:pPr>
            <w:r>
              <w:rPr>
                <w:b w:val="false"/>
                <w:bCs w:val="false"/>
                <w:color w:val="000000"/>
                <w:sz w:val="15"/>
                <w:szCs w:val="15"/>
              </w:rPr>
              <w:t xml:space="preserve">22 SKUs sin costo unitario en el catálogo y 40 vigencias sin costo en el historial. Las órdenes de compra registran costo para los 22, pero no es el mismo concepto: usado tal cual da un margen de 55,3% contra 44,9% del resto. La causa es un circuito de alta sin control: el producto se activa aunque Finanzas no haya cargado el costo.</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Productos_catalogo, Historial_Precios_SKU</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Completitud</w:t>
            </w:r>
          </w:p>
        </w:tc>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22 SKUs · 40 vigencias</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Media</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H12</w:t>
            </w:r>
          </w:p>
        </w:tc>
        <w:tc>
          <w:tcPr>
            <w:tcW w:type="dxa" w:w="27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Tres fuentes no cubren el período 2026 pese a que Ventas y Stock llegan a agosto: Devoluciones y Calendario terminan en diciembre de 2025, y el catálogo no registra altas desde junio de 2025.</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Devoluciones_SKU, Calendario, Productos_catalogo</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Actualidad</w:t>
            </w:r>
          </w:p>
        </w:tc>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3 fuentes · 8 meses</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Media</w:t>
            </w:r>
          </w:p>
        </w:tc>
      </w:tr>
    </w:tbl>
    <w:p>
      <w:pPr>
        <w:spacing w:after="70" w:before="180"/>
      </w:pPr>
      <w:r>
        <w:rPr>
          <w:b/>
          <w:bCs/>
          <w:sz w:val="21"/>
          <w:szCs w:val="21"/>
        </w:rPr>
        <w:t xml:space="preserve">Hallazgos resueltos durante la normalización</w:t>
      </w:r>
    </w:p>
    <w:p>
      <w:pPr>
        <w:spacing w:after="110" w:line="276"/>
        <w:jc w:val="both"/>
      </w:pPr>
      <w:r>
        <w:rPr>
          <w:sz w:val="21"/>
          <w:szCs w:val="21"/>
        </w:rPr>
        <w:t xml:space="preserve">Los siguientes hallazgos fueron corregidos al generar los datasets normalizados. La corrección se aplicó sobre la copia de trabajo; el problema sigue presente en los sistemas de origen.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3500"/>
        <w:gridCol w:w="3200"/>
        <w:gridCol w:w="1800"/>
      </w:tblGrid>
      <w:tr>
        <w:trPr>
          <w:tblHeader/>
        </w:trPr>
        <w:tc>
          <w:tcPr>
            <w:tcW w:type="dxa" w:w="500"/>
            <w:shd w:fill="1F3864" w:color="auto" w:val="clear"/>
            <w:tcMar>
              <w:top w:type="dxa" w:w="50"/>
              <w:left w:type="dxa" w:w="80"/>
              <w:bottom w:type="dxa" w:w="50"/>
              <w:right w:type="dxa" w:w="80"/>
            </w:tcMar>
          </w:tcPr>
          <w:p>
            <w:pPr>
              <w:spacing w:line="240"/>
              <w:jc w:val="left"/>
            </w:pPr>
            <w:r>
              <w:rPr>
                <w:b/>
                <w:bCs/>
                <w:color w:val="FFFFFF"/>
                <w:sz w:val="15"/>
                <w:szCs w:val="15"/>
              </w:rPr>
              <w:t xml:space="preserve">ID</w:t>
            </w:r>
          </w:p>
        </w:tc>
        <w:tc>
          <w:tcPr>
            <w:tcW w:type="dxa" w:w="3500"/>
            <w:shd w:fill="1F3864" w:color="auto" w:val="clear"/>
            <w:tcMar>
              <w:top w:type="dxa" w:w="50"/>
              <w:left w:type="dxa" w:w="80"/>
              <w:bottom w:type="dxa" w:w="50"/>
              <w:right w:type="dxa" w:w="80"/>
            </w:tcMar>
          </w:tcPr>
          <w:p>
            <w:pPr>
              <w:spacing w:line="240"/>
              <w:jc w:val="left"/>
            </w:pPr>
            <w:r>
              <w:rPr>
                <w:b/>
                <w:bCs/>
                <w:color w:val="FFFFFF"/>
                <w:sz w:val="15"/>
                <w:szCs w:val="15"/>
              </w:rPr>
              <w:t xml:space="preserve">Hallazgo</w:t>
            </w:r>
          </w:p>
        </w:tc>
        <w:tc>
          <w:tcPr>
            <w:tcW w:type="dxa" w:w="3200"/>
            <w:shd w:fill="1F3864" w:color="auto" w:val="clear"/>
            <w:tcMar>
              <w:top w:type="dxa" w:w="50"/>
              <w:left w:type="dxa" w:w="80"/>
              <w:bottom w:type="dxa" w:w="50"/>
              <w:right w:type="dxa" w:w="80"/>
            </w:tcMar>
          </w:tcPr>
          <w:p>
            <w:pPr>
              <w:spacing w:line="240"/>
              <w:jc w:val="left"/>
            </w:pPr>
            <w:r>
              <w:rPr>
                <w:b/>
                <w:bCs/>
                <w:color w:val="FFFFFF"/>
                <w:sz w:val="15"/>
                <w:szCs w:val="15"/>
              </w:rPr>
              <w:t xml:space="preserve">Corrección aplicada</w:t>
            </w:r>
          </w:p>
        </w:tc>
        <w:tc>
          <w:tcPr>
            <w:tcW w:type="dxa" w:w="1800"/>
            <w:shd w:fill="1F3864" w:color="auto" w:val="clear"/>
            <w:tcMar>
              <w:top w:type="dxa" w:w="50"/>
              <w:left w:type="dxa" w:w="80"/>
              <w:bottom w:type="dxa" w:w="50"/>
              <w:right w:type="dxa" w:w="80"/>
            </w:tcMar>
          </w:tcPr>
          <w:p>
            <w:pPr>
              <w:spacing w:line="240"/>
              <w:jc w:val="left"/>
            </w:pPr>
            <w:r>
              <w:rPr>
                <w:b/>
                <w:bCs/>
                <w:color w:val="FFFFFF"/>
                <w:sz w:val="15"/>
                <w:szCs w:val="15"/>
              </w:rPr>
              <w:t xml:space="preserve">Alcance</w:t>
            </w:r>
          </w:p>
        </w:tc>
      </w:tr>
      <w:tr>
        <w:tc>
          <w:tcPr>
            <w:tcW w:type="dxa" w:w="500"/>
            <w:tcMar>
              <w:top w:type="dxa" w:w="50"/>
              <w:left w:type="dxa" w:w="80"/>
              <w:bottom w:type="dxa" w:w="50"/>
              <w:right w:type="dxa" w:w="80"/>
            </w:tcMar>
          </w:tcPr>
          <w:p>
            <w:pPr>
              <w:spacing w:line="240"/>
              <w:jc w:val="left"/>
            </w:pPr>
            <w:r>
              <w:rPr>
                <w:b w:val="false"/>
                <w:bCs w:val="false"/>
                <w:color w:val="000000"/>
                <w:sz w:val="16"/>
                <w:szCs w:val="16"/>
              </w:rPr>
              <w:t xml:space="preserve">R1</w:t>
            </w:r>
          </w:p>
        </w:tc>
        <w:tc>
          <w:tcPr>
            <w:tcW w:type="dxa" w:w="3500"/>
            <w:tcMar>
              <w:top w:type="dxa" w:w="50"/>
              <w:left w:type="dxa" w:w="80"/>
              <w:bottom w:type="dxa" w:w="50"/>
              <w:right w:type="dxa" w:w="80"/>
            </w:tcMar>
          </w:tcPr>
          <w:p>
            <w:pPr>
              <w:spacing w:line="240"/>
              <w:jc w:val="left"/>
            </w:pPr>
            <w:r>
              <w:rPr>
                <w:b w:val="false"/>
                <w:bCs w:val="false"/>
                <w:color w:val="000000"/>
                <w:sz w:val="16"/>
                <w:szCs w:val="16"/>
              </w:rPr>
              <w:t xml:space="preserve">El campo categoría presentaba 11 valores distintos para 7 categorías reales en el catálogo y 10 en Promociones, por variantes de mayúsculas, acentos y separadores.</w:t>
            </w:r>
          </w:p>
        </w:tc>
        <w:tc>
          <w:tcPr>
            <w:tcW w:type="dxa" w:w="3200"/>
            <w:tcMar>
              <w:top w:type="dxa" w:w="50"/>
              <w:left w:type="dxa" w:w="80"/>
              <w:bottom w:type="dxa" w:w="50"/>
              <w:right w:type="dxa" w:w="80"/>
            </w:tcMar>
          </w:tcPr>
          <w:p>
            <w:pPr>
              <w:spacing w:line="240"/>
              <w:jc w:val="left"/>
            </w:pPr>
            <w:r>
              <w:rPr>
                <w:b w:val="false"/>
                <w:bCs w:val="false"/>
                <w:color w:val="000000"/>
                <w:sz w:val="16"/>
                <w:szCs w:val="16"/>
              </w:rPr>
              <w:t xml:space="preserve">Unificación a 7 valores canónicos en todas las fuentes que usan el campo.</w:t>
            </w:r>
          </w:p>
        </w:tc>
        <w:tc>
          <w:tcPr>
            <w:tcW w:type="dxa" w:w="1800"/>
            <w:tcMar>
              <w:top w:type="dxa" w:w="50"/>
              <w:left w:type="dxa" w:w="80"/>
              <w:bottom w:type="dxa" w:w="50"/>
              <w:right w:type="dxa" w:w="80"/>
            </w:tcMar>
          </w:tcPr>
          <w:p>
            <w:pPr>
              <w:spacing w:line="240"/>
              <w:jc w:val="left"/>
            </w:pPr>
            <w:r>
              <w:rPr>
                <w:b w:val="false"/>
                <w:bCs w:val="false"/>
                <w:color w:val="000000"/>
                <w:sz w:val="16"/>
                <w:szCs w:val="16"/>
              </w:rPr>
              <w:t xml:space="preserve">2.712 celdas normalizadas</w:t>
            </w:r>
          </w:p>
        </w:tc>
      </w:tr>
      <w:tr>
        <w:tc>
          <w:tcPr>
            <w:tcW w:type="dxa" w:w="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R2</w:t>
            </w:r>
          </w:p>
        </w:tc>
        <w:tc>
          <w:tcPr>
            <w:tcW w:type="dxa" w:w="35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8 registros de Liquidaciones tenían la fecha de fin en formato «AAAA-MM-DD 00:00:00» en lugar de «AAAA-MM-DD». Eran fechas válidas, no ilegibles.</w:t>
            </w:r>
          </w:p>
        </w:tc>
        <w:tc>
          <w:tcPr>
            <w:tcW w:type="dxa" w:w="32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Conversión al formato estándar, sin pérdida de información.</w:t>
            </w:r>
          </w:p>
        </w:tc>
        <w:tc>
          <w:tcPr>
            <w:tcW w:type="dxa" w:w="1800"/>
            <w:shd w:fill="F2F2F2" w:color="auto" w:val="clear"/>
            <w:tcMar>
              <w:top w:type="dxa" w:w="50"/>
              <w:left w:type="dxa" w:w="80"/>
              <w:bottom w:type="dxa" w:w="50"/>
              <w:right w:type="dxa" w:w="80"/>
            </w:tcMar>
          </w:tcPr>
          <w:p>
            <w:pPr>
              <w:spacing w:line="240"/>
              <w:jc w:val="left"/>
            </w:pPr>
            <w:r>
              <w:rPr>
                <w:b w:val="false"/>
                <w:bCs w:val="false"/>
                <w:color w:val="000000"/>
                <w:sz w:val="16"/>
                <w:szCs w:val="16"/>
              </w:rPr>
              <w:t xml:space="preserve">8 registros</w:t>
            </w:r>
          </w:p>
        </w:tc>
      </w:tr>
    </w:tbl>
    <w:p>
      <w:pPr>
        <w:spacing w:after="70" w:before="180"/>
      </w:pPr>
      <w:r>
        <w:rPr>
          <w:b/>
          <w:bCs/>
          <w:sz w:val="21"/>
          <w:szCs w:val="21"/>
        </w:rPr>
        <w:t xml:space="preserve">Gaps de información</w:t>
      </w:r>
    </w:p>
    <w:p>
      <w:pPr>
        <w:spacing w:after="110" w:line="276"/>
        <w:jc w:val="both"/>
      </w:pPr>
      <w:r>
        <w:rPr>
          <w:sz w:val="21"/>
          <w:szCs w:val="21"/>
        </w:rPr>
        <w:t xml:space="preserve">Además de los errores en los datos existentes, se identifican vacíos que limitan el alcance del análisis:</w:t>
      </w:r>
    </w:p>
    <w:p>
      <w:pPr>
        <w:pStyle w:val="ListParagraph"/>
        <w:numPr>
          <w:ilvl w:val="0"/>
          <w:numId w:val="2"/>
        </w:numPr>
        <w:spacing w:after="60" w:line="264"/>
        <w:jc w:val="both"/>
      </w:pPr>
      <w:r>
        <w:rPr>
          <w:sz w:val="21"/>
          <w:szCs w:val="21"/>
        </w:rPr>
        <w:t xml:space="preserve">No existe información a nivel de transacción: la granularidad mínima es mensual por SKU y tienda. No se pueden calcular métricas de ticket ni de canasta de compra.</w:t>
      </w:r>
    </w:p>
    <w:p>
      <w:pPr>
        <w:pStyle w:val="ListParagraph"/>
        <w:numPr>
          <w:ilvl w:val="0"/>
          <w:numId w:val="2"/>
        </w:numPr>
        <w:spacing w:after="60" w:line="264"/>
        <w:jc w:val="both"/>
      </w:pPr>
      <w:r>
        <w:rPr>
          <w:sz w:val="21"/>
          <w:szCs w:val="21"/>
        </w:rPr>
        <w:t xml:space="preserve">No hay datos identificados de cliente en ninguna de las 15 fuentes, lo que impide abordar el frente de fidelización.</w:t>
      </w:r>
    </w:p>
    <w:p>
      <w:pPr>
        <w:pStyle w:val="ListParagraph"/>
        <w:numPr>
          <w:ilvl w:val="0"/>
          <w:numId w:val="2"/>
        </w:numPr>
        <w:spacing w:after="60" w:line="264"/>
        <w:jc w:val="both"/>
      </w:pPr>
      <w:r>
        <w:rPr>
          <w:sz w:val="21"/>
          <w:szCs w:val="21"/>
        </w:rPr>
        <w:t xml:space="preserve">El campo de stock en tránsito no tiene definición documentada, por lo que no puede determinarse si debe computarse como stock disponible.</w:t>
      </w:r>
    </w:p>
    <w:p>
      <w:pPr>
        <w:pStyle w:val="ListParagraph"/>
        <w:numPr>
          <w:ilvl w:val="0"/>
          <w:numId w:val="2"/>
        </w:numPr>
        <w:spacing w:after="60" w:line="264"/>
        <w:jc w:val="both"/>
      </w:pPr>
      <w:r>
        <w:rPr>
          <w:sz w:val="21"/>
          <w:szCs w:val="21"/>
        </w:rPr>
        <w:t xml:space="preserve">No existe un diccionario de datos ni un responsable formal del dato maestro de producto. El responsable de IT a cargo de los sistemas renunció sin dejar documentación, por lo que tampoco hay una definición formal de qué incluye el costo unitario.</w:t>
      </w:r>
    </w:p>
    <w:p>
      <w:pPr>
        <w:pStyle w:val="ListParagraph"/>
        <w:numPr>
          <w:ilvl w:val="0"/>
          <w:numId w:val="2"/>
        </w:numPr>
        <w:spacing w:after="60" w:line="264"/>
        <w:jc w:val="both"/>
      </w:pPr>
      <w:r>
        <w:rPr>
          <w:sz w:val="21"/>
          <w:szCs w:val="21"/>
        </w:rPr>
        <w:t xml:space="preserve">No hay registro de auditoría ni política de retención, lo que limita la trazabilidad en todas las fuentes transaccionales.</w:t>
      </w:r>
    </w:p>
    <w:p>
      <w:pPr>
        <w:pStyle w:val="ListParagraph"/>
        <w:numPr>
          <w:ilvl w:val="0"/>
          <w:numId w:val="2"/>
        </w:numPr>
        <w:spacing w:after="60" w:line="264"/>
        <w:jc w:val="both"/>
      </w:pPr>
      <w:r>
        <w:rPr>
          <w:sz w:val="21"/>
          <w:szCs w:val="21"/>
        </w:rPr>
        <w:t xml:space="preserve">El canal de comercio electrónico no está representado: el análisis cubre únicamente las 28 tiendas físicas.</w:t>
      </w:r>
    </w:p>
    <w:p>
      <w:pPr>
        <w:spacing w:after="70" w:before="180"/>
      </w:pPr>
      <w:r>
        <w:rPr>
          <w:b/>
          <w:bCs/>
          <w:sz w:val="21"/>
          <w:szCs w:val="21"/>
        </w:rPr>
        <w:t xml:space="preserve">Mapa de calidad de datos</w:t>
      </w:r>
    </w:p>
    <w:p>
      <w:pPr>
        <w:spacing w:after="110" w:line="276"/>
        <w:jc w:val="both"/>
      </w:pPr>
      <w:r>
        <w:rPr>
          <w:sz w:val="21"/>
          <w:szCs w:val="21"/>
        </w:rPr>
        <w:t xml:space="preserve">Evaluación de las 15 fuentes según las siete dimensiones. Verde: sin problemas. Amarillo: issue menor. Rojo: issue crítico.</w:t>
      </w:r>
    </w:p>
    <w:tbl>
      <w:tblPr>
        <w:tblW w:type="dxa" w:w="8850"/>
        <w:tblBorders>
          <w:top w:val="single" w:color="auto" w:sz="4"/>
          <w:left w:val="single" w:color="auto" w:sz="4"/>
          <w:bottom w:val="single" w:color="auto" w:sz="4"/>
          <w:right w:val="single" w:color="auto" w:sz="4"/>
          <w:insideH w:val="single" w:color="auto" w:sz="4"/>
          <w:insideV w:val="single" w:color="auto" w:sz="4"/>
        </w:tblBorders>
      </w:tblPr>
      <w:tblGrid>
        <w:gridCol w:w="2050"/>
        <w:gridCol w:w="1000"/>
        <w:gridCol w:w="1050"/>
        <w:gridCol w:w="950"/>
        <w:gridCol w:w="1000"/>
        <w:gridCol w:w="900"/>
        <w:gridCol w:w="900"/>
        <w:gridCol w:w="1000"/>
      </w:tblGrid>
      <w:tr>
        <w:trPr>
          <w:tblHeader/>
        </w:trPr>
        <w:tc>
          <w:tcPr>
            <w:tcW w:type="dxa" w:w="2050"/>
            <w:shd w:fill="1F3864" w:color="auto" w:val="clear"/>
            <w:tcMar>
              <w:top w:type="dxa" w:w="50"/>
              <w:left w:type="dxa" w:w="80"/>
              <w:bottom w:type="dxa" w:w="50"/>
              <w:right w:type="dxa" w:w="80"/>
            </w:tcMar>
          </w:tcPr>
          <w:p>
            <w:pPr>
              <w:spacing w:line="240"/>
              <w:jc w:val="left"/>
            </w:pPr>
            <w:r>
              <w:rPr>
                <w:b/>
                <w:bCs/>
                <w:color w:val="FFFFFF"/>
                <w:sz w:val="14"/>
                <w:szCs w:val="14"/>
              </w:rPr>
              <w:t xml:space="preserve">Fuente de Datos</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Completitud</w:t>
            </w:r>
          </w:p>
        </w:tc>
        <w:tc>
          <w:tcPr>
            <w:tcW w:type="dxa" w:w="1050"/>
            <w:shd w:fill="1F3864" w:color="auto" w:val="clear"/>
            <w:tcMar>
              <w:top w:type="dxa" w:w="50"/>
              <w:left w:type="dxa" w:w="80"/>
              <w:bottom w:type="dxa" w:w="50"/>
              <w:right w:type="dxa" w:w="80"/>
            </w:tcMar>
          </w:tcPr>
          <w:p>
            <w:pPr>
              <w:spacing w:line="240"/>
              <w:jc w:val="left"/>
            </w:pPr>
            <w:r>
              <w:rPr>
                <w:b/>
                <w:bCs/>
                <w:color w:val="FFFFFF"/>
                <w:sz w:val="14"/>
                <w:szCs w:val="14"/>
              </w:rPr>
              <w:t xml:space="preserve">Consistencia</w:t>
            </w:r>
          </w:p>
        </w:tc>
        <w:tc>
          <w:tcPr>
            <w:tcW w:type="dxa" w:w="950"/>
            <w:shd w:fill="1F3864" w:color="auto" w:val="clear"/>
            <w:tcMar>
              <w:top w:type="dxa" w:w="50"/>
              <w:left w:type="dxa" w:w="80"/>
              <w:bottom w:type="dxa" w:w="50"/>
              <w:right w:type="dxa" w:w="80"/>
            </w:tcMar>
          </w:tcPr>
          <w:p>
            <w:pPr>
              <w:spacing w:line="240"/>
              <w:jc w:val="left"/>
            </w:pPr>
            <w:r>
              <w:rPr>
                <w:b/>
                <w:bCs/>
                <w:color w:val="FFFFFF"/>
                <w:sz w:val="14"/>
                <w:szCs w:val="14"/>
              </w:rPr>
              <w:t xml:space="preserve">Exactitud</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Actualidad</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Validez</w:t>
            </w:r>
          </w:p>
        </w:tc>
        <w:tc>
          <w:tcPr>
            <w:tcW w:type="dxa" w:w="900"/>
            <w:shd w:fill="1F3864" w:color="auto" w:val="clear"/>
            <w:tcMar>
              <w:top w:type="dxa" w:w="50"/>
              <w:left w:type="dxa" w:w="80"/>
              <w:bottom w:type="dxa" w:w="50"/>
              <w:right w:type="dxa" w:w="80"/>
            </w:tcMar>
          </w:tcPr>
          <w:p>
            <w:pPr>
              <w:spacing w:line="240"/>
              <w:jc w:val="left"/>
            </w:pPr>
            <w:r>
              <w:rPr>
                <w:b/>
                <w:bCs/>
                <w:color w:val="FFFFFF"/>
                <w:sz w:val="14"/>
                <w:szCs w:val="14"/>
              </w:rPr>
              <w:t xml:space="preserve">Unicidad</w:t>
            </w:r>
          </w:p>
        </w:tc>
        <w:tc>
          <w:tcPr>
            <w:tcW w:type="dxa" w:w="1000"/>
            <w:shd w:fill="1F3864" w:color="auto" w:val="clear"/>
            <w:tcMar>
              <w:top w:type="dxa" w:w="50"/>
              <w:left w:type="dxa" w:w="80"/>
              <w:bottom w:type="dxa" w:w="50"/>
              <w:right w:type="dxa" w:w="80"/>
            </w:tcMar>
          </w:tcPr>
          <w:p>
            <w:pPr>
              <w:spacing w:line="240"/>
              <w:jc w:val="left"/>
            </w:pPr>
            <w:r>
              <w:rPr>
                <w:b/>
                <w:bCs/>
                <w:color w:val="FFFFFF"/>
                <w:sz w:val="14"/>
                <w:szCs w:val="14"/>
              </w:rPr>
              <w:t xml:space="preserve">Trazabilidad</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Ventas_SKU_tienda_mensual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Stock_SKU_tienda_mensual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Productos_catalogo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Tiendas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Calendario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Liquidaciones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Devoluciones_SKU</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Historial_Precios_SKU</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Ordenes_Compra</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Presupuesto_Ventas_Tienda_Categoria</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Promociones_Comerciales</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0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Proveedores</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Stock_Deposito_Central</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Transferencias_Stock</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C7CE" w:color="auto" w:val="clear"/>
            <w:tcMar>
              <w:top w:type="dxa" w:w="50"/>
              <w:left w:type="dxa" w:w="80"/>
              <w:bottom w:type="dxa" w:w="50"/>
              <w:right w:type="dxa" w:w="80"/>
            </w:tcMar>
          </w:tcPr>
          <w:p>
            <w:pPr>
              <w:spacing w:line="240"/>
              <w:jc w:val="center"/>
            </w:pPr>
            <w:r>
              <w:rPr>
                <w:b/>
                <w:bCs/>
                <w:color w:val="9C0006"/>
                <w:sz w:val="15"/>
                <w:szCs w:val="15"/>
              </w:rPr>
              <w:t xml:space="preserve">Rojo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r>
      <w:tr>
        <w:tc>
          <w:tcPr>
            <w:tcW w:type="dxa" w:w="2050"/>
            <w:tcMar>
              <w:top w:type="dxa" w:w="50"/>
              <w:left w:type="dxa" w:w="80"/>
              <w:bottom w:type="dxa" w:w="50"/>
              <w:right w:type="dxa" w:w="80"/>
            </w:tcMar>
          </w:tcPr>
          <w:p>
            <w:pPr>
              <w:spacing w:line="240"/>
              <w:jc w:val="left"/>
            </w:pPr>
            <w:r>
              <w:rPr>
                <w:b w:val="false"/>
                <w:bCs w:val="false"/>
                <w:color w:val="000000"/>
                <w:sz w:val="15"/>
                <w:szCs w:val="15"/>
              </w:rPr>
              <w:t xml:space="preserve">Costo_almacenamiento</w:t>
            </w:r>
          </w:p>
        </w:tc>
        <w:tc>
          <w:tcPr>
            <w:tcW w:type="dxa" w:w="10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5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5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900"/>
            <w:shd w:fill="C6EFCE" w:color="auto" w:val="clear"/>
            <w:tcMar>
              <w:top w:type="dxa" w:w="50"/>
              <w:left w:type="dxa" w:w="80"/>
              <w:bottom w:type="dxa" w:w="50"/>
              <w:right w:type="dxa" w:w="80"/>
            </w:tcMar>
          </w:tcPr>
          <w:p>
            <w:pPr>
              <w:spacing w:line="240"/>
              <w:jc w:val="center"/>
            </w:pPr>
            <w:r>
              <w:rPr>
                <w:b/>
                <w:bCs/>
                <w:color w:val="006100"/>
                <w:sz w:val="15"/>
                <w:szCs w:val="15"/>
              </w:rPr>
              <w:t xml:space="preserve">Verde</w:t>
            </w:r>
          </w:p>
        </w:tc>
        <w:tc>
          <w:tcPr>
            <w:tcW w:type="dxa" w:w="1000"/>
            <w:shd w:fill="FFEB9C" w:color="auto" w:val="clear"/>
            <w:tcMar>
              <w:top w:type="dxa" w:w="50"/>
              <w:left w:type="dxa" w:w="80"/>
              <w:bottom w:type="dxa" w:w="50"/>
              <w:right w:type="dxa" w:w="80"/>
            </w:tcMar>
          </w:tcPr>
          <w:p>
            <w:pPr>
              <w:spacing w:line="240"/>
              <w:jc w:val="center"/>
            </w:pPr>
            <w:r>
              <w:rPr>
                <w:b/>
                <w:bCs/>
                <w:color w:val="9C5700"/>
                <w:sz w:val="15"/>
                <w:szCs w:val="15"/>
              </w:rPr>
              <w:t xml:space="preserve">Amarillo</w:t>
            </w:r>
          </w:p>
        </w:tc>
      </w:tr>
    </w:tbl>
    <w:p>
      <w:pPr>
        <w:spacing w:after="110" w:line="276"/>
        <w:jc w:val="both"/>
      </w:pPr>
      <w:r>
        <w:rPr>
          <w:i/>
          <w:iCs/>
          <w:color w:val="808080"/>
          <w:sz w:val="21"/>
          <w:szCs w:val="21"/>
        </w:rPr>
        <w:t>Respecto de la evaluación de la Parte A, mejora la consistencia de Productos_catalogo y Promociones por la unificación de categorías. La consistencia del presupuesto baja de rojo a amarillo porque el negocio explicó las celdas en cero y negativas y se excluyen del análisis; sigue abierta la uniformidad del cumplimiento. Con las respuestas del negocio empeora la trazabilidad de Historial_Precios_SKU, que resultó ser una reconstrucción y no un registro, y la de Productos_catalogo, cuyo costo unitario no tiene definición documentada.</w:t>
      </w:r>
    </w:p>
    <w:p>
      <w:pPr>
        <w:pStyle w:val="Heading2"/>
        <w:spacing w:after="90" w:before="220"/>
      </w:pPr>
      <w:r>
        <w:rPr>
          <w:b/>
          <w:bCs/>
          <w:color w:val="C0504D"/>
          <w:sz w:val="22"/>
          <w:szCs w:val="22"/>
        </w:rPr>
        <w:t xml:space="preserve">1.2 Plan de mejora de Calidad</w:t>
      </w:r>
    </w:p>
    <w:p>
      <w:pPr>
        <w:spacing w:after="110" w:line="276"/>
        <w:jc w:val="both"/>
      </w:pPr>
      <w:r>
        <w:rPr>
          <w:sz w:val="21"/>
          <w:szCs w:val="21"/>
        </w:rPr>
        <w:t xml:space="preserve">Para cada hallazgo se define la acción de remediación, si la corrección debe aplicarse en el sistema de origen de Casa Óga o alcanza con resolverla en el pipeline del proyecto, y el responsable sugerido. Los responsables deben validarse con el cliente.</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1200"/>
        <w:gridCol w:w="1900"/>
      </w:tblGrid>
      <w:tr>
        <w:trPr>
          <w:tblHeader/>
        </w:trPr>
        <w:tc>
          <w:tcPr>
            <w:tcW w:type="dxa" w:w="1500"/>
            <w:shd w:fill="1F3864" w:color="auto" w:val="clear"/>
            <w:tcMar>
              <w:top w:type="dxa" w:w="50"/>
              <w:left w:type="dxa" w:w="80"/>
              <w:bottom w:type="dxa" w:w="50"/>
              <w:right w:type="dxa" w:w="80"/>
            </w:tcMar>
          </w:tcPr>
          <w:p>
            <w:pPr>
              <w:spacing w:line="240"/>
              <w:jc w:val="left"/>
            </w:pPr>
            <w:r>
              <w:rPr>
                <w:b/>
                <w:bCs/>
                <w:color w:val="FFFFFF"/>
                <w:sz w:val="14"/>
                <w:szCs w:val="14"/>
              </w:rPr>
              <w:t xml:space="preserve">Issue de Calidad</w:t>
            </w:r>
          </w:p>
        </w:tc>
        <w:tc>
          <w:tcPr>
            <w:tcW w:type="dxa" w:w="3800"/>
            <w:shd w:fill="1F3864" w:color="auto" w:val="clear"/>
            <w:tcMar>
              <w:top w:type="dxa" w:w="50"/>
              <w:left w:type="dxa" w:w="80"/>
              <w:bottom w:type="dxa" w:w="50"/>
              <w:right w:type="dxa" w:w="80"/>
            </w:tcMar>
          </w:tcPr>
          <w:p>
            <w:pPr>
              <w:spacing w:line="240"/>
              <w:jc w:val="left"/>
            </w:pPr>
            <w:r>
              <w:rPr>
                <w:b/>
                <w:bCs/>
                <w:color w:val="FFFFFF"/>
                <w:sz w:val="14"/>
                <w:szCs w:val="14"/>
              </w:rPr>
              <w:t xml:space="preserve">Acción de Mejora</w:t>
            </w:r>
          </w:p>
        </w:tc>
        <w:tc>
          <w:tcPr>
            <w:tcW w:type="dxa" w:w="1200"/>
            <w:shd w:fill="1F3864" w:color="auto" w:val="clear"/>
            <w:tcMar>
              <w:top w:type="dxa" w:w="50"/>
              <w:left w:type="dxa" w:w="80"/>
              <w:bottom w:type="dxa" w:w="50"/>
              <w:right w:type="dxa" w:w="80"/>
            </w:tcMar>
          </w:tcPr>
          <w:p>
            <w:pPr>
              <w:spacing w:line="240"/>
              <w:jc w:val="left"/>
            </w:pPr>
            <w:r>
              <w:rPr>
                <w:b/>
                <w:bCs/>
                <w:color w:val="FFFFFF"/>
                <w:sz w:val="14"/>
                <w:szCs w:val="14"/>
              </w:rPr>
              <w:t xml:space="preserve">Impacta en Origen</w:t>
            </w:r>
          </w:p>
        </w:tc>
        <w:tc>
          <w:tcPr>
            <w:tcW w:type="dxa" w:w="1900"/>
            <w:shd w:fill="1F3864" w:color="auto" w:val="clear"/>
            <w:tcMar>
              <w:top w:type="dxa" w:w="50"/>
              <w:left w:type="dxa" w:w="80"/>
              <w:bottom w:type="dxa" w:w="50"/>
              <w:right w:type="dxa" w:w="80"/>
            </w:tcMar>
          </w:tcPr>
          <w:p>
            <w:pPr>
              <w:spacing w:line="240"/>
              <w:jc w:val="left"/>
            </w:pPr>
            <w:r>
              <w:rPr>
                <w:b/>
                <w:bCs/>
                <w:color w:val="FFFFFF"/>
                <w:sz w:val="14"/>
                <w:szCs w:val="14"/>
              </w:rPr>
              <w:t xml:space="preserve">Responsable</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H1 · Claves duplicadas en Ventas y Stock</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Deduplicar por clave conservando la primera ocurrencia mientras persista el problema. La solución definitiva depende de H2: una vez resuelto el maestro, los duplicados dejan de generarse.</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Sistemas (con Compras)</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H2 · SKUs duplicados en el maestro</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El negocio confirmó que es un error del sistema y lo está revisando con Compras caso por caso. En el proyecto se toma el costo único del catálogo, sin desagregar por proveedor. En origen: definir la clave única del maestro de producto e incorporar una restricción de unicidad en el alta.</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Compras y Categorías</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H3 · Ventas antes de la apertura</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Auditar las seis tiendas y determinar si el error está en la fecha de apertura declarada o en la asignación de las ventas. Hasta resolverlo, excluir la antigüedad de tienda como variable de análisis.</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Operaciones y Sistemas</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H4 · Valores negativos</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Stock negativo: llevarlo a 0 en todo cálculo de cobertura y dead stock, porque es un error de sincronización y no información real. Ventas negativas: netearlas contra la venta del mismo SKU-tienda-mes para calcular el ritmo de venta. En origen: registrar la devolución como movimiento propio, separando la devolución a proveedor (movimiento de inventario) de la de cliente, y agregar un control que impida descontar stock todavía no cargado.</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Sistemas y Ventas</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H5 · Venta sin stock o mayor al stock</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Tratarlo con la misma causa confirmada para el stock negativo: falta de sincronización entre el punto de venta y el sistema de inventario. Documentar además en qué momento del mes se informa el stock, porque un corte a fin de mes explicaría parte de los casos.</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Sistemas e Inventario</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H6 · Stock en tránsito sin conciliar</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Documentar la definición operativa del campo y establecer la regla de conciliación con transferencias y con órdenes de compra pendientes de recepción. Definir si debe computarse como stock disponible.</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Operaciones e Inventario</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H7 · Liquidaciones incoherentes</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Incorporar una validación que impida registrar motivo «Discontinuación» sobre un SKU activo. Reemplazar el valor «Todas» por el detalle de tiendas alcanzadas o por un indicador explícito de alcance.</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Comercial</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H8 · Precio de venta vs. historial</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No usar el historial para revaluar ventas: es una reconstrucción retroactiva, no un registro del sistema. Usar el precio de lista del catálogo, que es la fuente maestra. Para comparar montos entre años, no deflactar la venta por IPC, porque ya está valuada aproximadamente al precio actual; comparar en unidades. En origen: guardar un registro histórico de precios en lugar de pisar el valor vigente.</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Contable y proveedor del POS</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H9 · Descuentos fuera de rango</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Excluir los cinco descuentos del cálculo de margen, por ser errores de carga (rangos de referencia: 10%-50% en liquidaciones y 5%-40% en promociones). Excluir del desvío contra presupuesto los 309 ceros de ene-may 2022 y los 3 negativos. En origen: validación de rango al cargar descuentos, que hoy no existe.</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Comercial y Financiera</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H10 · Promociones duplicadas e inválidas</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Aplicar una restricción de unicidad sobre el identificador de promoción y una validación de coherencia entre fecha de inicio y de fin.</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Proveedor del sistema de promociones</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H11 · Faltantes de costo</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Usar el costo de la orden de compra ajustado por un factor de 1,2321, que nivela el margen de estos 22 SKUs con el 44,9% del resto del catálogo. En origen: impedir que un producto quede activo sin costo cargado y documentar qué incluye el costo unitario.</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Compras</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H12 · Fuentes sin cobertura de 2026</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Solicitar la extensión de Devoluciones, Calendario y Productos_catalogo hasta agosto de 2026, para alinearlas con Ventas y Stock. Mientras tanto, declarar la limitación en todo análisis del período.</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Referente de datos designado</w:t>
            </w:r>
          </w:p>
        </w:tc>
      </w:tr>
      <w:tr>
        <w:tc>
          <w:tcPr>
            <w:tcW w:type="dxa" w:w="1500"/>
            <w:tcMar>
              <w:top w:type="dxa" w:w="50"/>
              <w:left w:type="dxa" w:w="80"/>
              <w:bottom w:type="dxa" w:w="50"/>
              <w:right w:type="dxa" w:w="80"/>
            </w:tcMar>
          </w:tcPr>
          <w:p>
            <w:pPr>
              <w:spacing w:line="240"/>
              <w:jc w:val="left"/>
            </w:pPr>
            <w:r>
              <w:rPr>
                <w:b w:val="false"/>
                <w:bCs w:val="false"/>
                <w:color w:val="000000"/>
                <w:sz w:val="15"/>
                <w:szCs w:val="15"/>
              </w:rPr>
              <w:t xml:space="preserve">R1 · Variantes de categoría</w:t>
            </w:r>
          </w:p>
        </w:tc>
        <w:tc>
          <w:tcPr>
            <w:tcW w:type="dxa" w:w="3800"/>
            <w:tcMar>
              <w:top w:type="dxa" w:w="50"/>
              <w:left w:type="dxa" w:w="80"/>
              <w:bottom w:type="dxa" w:w="50"/>
              <w:right w:type="dxa" w:w="80"/>
            </w:tcMar>
          </w:tcPr>
          <w:p>
            <w:pPr>
              <w:spacing w:line="240"/>
              <w:jc w:val="left"/>
            </w:pPr>
            <w:r>
              <w:rPr>
                <w:b w:val="false"/>
                <w:bCs w:val="false"/>
                <w:color w:val="000000"/>
                <w:sz w:val="15"/>
                <w:szCs w:val="15"/>
              </w:rPr>
              <w:t xml:space="preserve">Resuelto en el pipeline mediante unificación a 7 valores canónicos. Pendiente en origen: definir una tabla maestra de categorías única para todos los sistemas.</w:t>
            </w:r>
          </w:p>
        </w:tc>
        <w:tc>
          <w:tcPr>
            <w:tcW w:type="dxa" w:w="1200"/>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tcMar>
              <w:top w:type="dxa" w:w="50"/>
              <w:left w:type="dxa" w:w="80"/>
              <w:bottom w:type="dxa" w:w="50"/>
              <w:right w:type="dxa" w:w="80"/>
            </w:tcMar>
          </w:tcPr>
          <w:p>
            <w:pPr>
              <w:spacing w:line="240"/>
              <w:jc w:val="left"/>
            </w:pPr>
            <w:r>
              <w:rPr>
                <w:b w:val="false"/>
                <w:bCs w:val="false"/>
                <w:color w:val="000000"/>
                <w:sz w:val="15"/>
                <w:szCs w:val="15"/>
              </w:rPr>
              <w:t xml:space="preserve">Compras y Categorías</w:t>
            </w:r>
          </w:p>
        </w:tc>
      </w:tr>
      <w:tr>
        <w:tc>
          <w:tcPr>
            <w:tcW w:type="dxa" w:w="15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R2 · Formato mixto de fecha</w:t>
            </w:r>
          </w:p>
        </w:tc>
        <w:tc>
          <w:tcPr>
            <w:tcW w:type="dxa" w:w="38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Resuelto en el pipeline mediante conversión al formato estándar. Pendiente en origen: unificar el formato de fecha en el sistema de liquidaciones.</w:t>
            </w:r>
          </w:p>
        </w:tc>
        <w:tc>
          <w:tcPr>
            <w:tcW w:type="dxa" w:w="12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Sí</w:t>
            </w:r>
          </w:p>
        </w:tc>
        <w:tc>
          <w:tcPr>
            <w:tcW w:type="dxa" w:w="1900"/>
            <w:shd w:fill="F2F2F2" w:color="auto" w:val="clear"/>
            <w:tcMar>
              <w:top w:type="dxa" w:w="50"/>
              <w:left w:type="dxa" w:w="80"/>
              <w:bottom w:type="dxa" w:w="50"/>
              <w:right w:type="dxa" w:w="80"/>
            </w:tcMar>
          </w:tcPr>
          <w:p>
            <w:pPr>
              <w:spacing w:line="240"/>
              <w:jc w:val="left"/>
            </w:pPr>
            <w:r>
              <w:rPr>
                <w:b w:val="false"/>
                <w:bCs w:val="false"/>
                <w:color w:val="000000"/>
                <w:sz w:val="15"/>
                <w:szCs w:val="15"/>
              </w:rPr>
              <w:t xml:space="preserve">Comercial</w:t>
            </w:r>
          </w:p>
        </w:tc>
      </w:tr>
    </w:tbl>
    <w:p>
      <w:pPr>
        <w:spacing w:after="110" w:line="276"/>
        <w:jc w:val="both"/>
      </w:pPr>
      <w:r>
        <w:rPr>
          <w:sz w:val="21"/>
          <w:szCs w:val="21"/>
        </w:rPr>
        <w:t xml:space="preserve">Las acciones sobre H1 a H8 condicionan la confiabilidad de las métricas centrales del proyecto y deberían resolverse antes de construir el dataset de entrenamiento. H9 a H12 pueden ejecutarse en paralelo. En todos los casos la corrección impacta en el sistema de origen: las remediaciones aplicadas en el pipeline del proyecto son provisorias y no evitan que el problema se vuelva a generar.</w:t>
      </w:r>
    </w:p>
    <w:p>
      <w:pPr>
        <w:spacing w:after="70" w:before="180"/>
      </w:pPr>
      <w:r>
        <w:rPr>
          <w:b/>
          <w:bCs/>
          <w:sz w:val="21"/>
          <w:szCs w:val="21"/>
        </w:rPr>
        <w:t xml:space="preserve">Supuesto declarado: costo de los 22 SKUs sin costo en catálogo</w:t>
      </w:r>
    </w:p>
    <w:p>
      <w:pPr>
        <w:spacing w:after="110" w:line="276"/>
        <w:jc w:val="both"/>
      </w:pPr>
      <w:r>
        <w:rPr>
          <w:sz w:val="21"/>
          <w:szCs w:val="21"/>
        </w:rPr>
        <w:t xml:space="preserve">El factor de ajuste no es un dato del negocio: es un supuesto calculado por el equipo, siguiendo el criterio indicado por Casa Óga. Se compara la relación costo / precio de lista de los 22 SKUs, tomando el costo de sus órdenes de compra ponderado por unidades (0,4471), contra la misma relación en el resto del catálogo con su costo de catálogo (0,5509). El cociente, 1,2321, es el factor que lleva el margen de esos productos de 55,3% a 44,9%. El resultado es estable ante el criterio de agregación: con la mediana de las órdenes de compra el factor es 1,2307.</w:t>
      </w:r>
    </w:p>
    <w:p>
      <w:pPr>
        <w:spacing w:after="110" w:line="276"/>
        <w:jc w:val="both"/>
      </w:pPr>
      <w:r>
        <w:rPr>
          <w:sz w:val="21"/>
          <w:szCs w:val="21"/>
        </w:rPr>
        <w:t xml:space="preserve">Con este supuesto, el stock de los 22 SKUs a agosto de 2026 (2.338 unidades) se valúa en $72,3 M, contra $58,7 M si se usara el costo de la orden sin ajustar. Sin el ajuste, el capital inmovilizado quedaría subestimado y el margen sobreestimado para estos productos. El supuesto se reemplazará por el costo definitivo cuando Finanzas lo confirme.</w:t>
      </w:r>
    </w:p>
    <w:p>
      <w:pPr>
        <w:spacing w:after="70" w:before="180"/>
      </w:pPr>
      <w:r>
        <w:rPr>
          <w:b/>
          <w:bCs/>
          <w:sz w:val="21"/>
          <w:szCs w:val="21"/>
        </w:rPr>
        <w:t xml:space="preserve">Sugerencias solicitadas por el negocio para la implementación definitiva</w:t>
      </w:r>
    </w:p>
    <w:p>
      <w:pPr>
        <w:pStyle w:val="ListParagraph"/>
        <w:numPr>
          <w:ilvl w:val="0"/>
          <w:numId w:val="2"/>
        </w:numPr>
        <w:spacing w:after="60" w:line="264"/>
        <w:jc w:val="both"/>
      </w:pPr>
      <w:r>
        <w:rPr>
          <w:sz w:val="21"/>
          <w:szCs w:val="21"/>
        </w:rPr>
        <w:t xml:space="preserve">Que el alta de un producto no pueda quedar activa sin costo cargado, mediante un control bloqueante o un estado intermedio de «pendiente de costo».</w:t>
      </w:r>
    </w:p>
    <w:p>
      <w:pPr>
        <w:pStyle w:val="ListParagraph"/>
        <w:numPr>
          <w:ilvl w:val="0"/>
          <w:numId w:val="2"/>
        </w:numPr>
        <w:spacing w:after="60" w:line="264"/>
        <w:jc w:val="both"/>
      </w:pPr>
      <w:r>
        <w:rPr>
          <w:sz w:val="21"/>
          <w:szCs w:val="21"/>
        </w:rPr>
        <w:t xml:space="preserve">Que el costo unitario del catálogo tenga una definición documentada: qué componentes incluye y cómo se relaciona con el costo de la orden de compra.</w:t>
      </w:r>
    </w:p>
    <w:p>
      <w:pPr>
        <w:pStyle w:val="ListParagraph"/>
        <w:numPr>
          <w:ilvl w:val="0"/>
          <w:numId w:val="2"/>
        </w:numPr>
        <w:spacing w:after="60" w:line="264"/>
        <w:jc w:val="both"/>
      </w:pPr>
      <w:r>
        <w:rPr>
          <w:sz w:val="21"/>
          <w:szCs w:val="21"/>
        </w:rPr>
        <w:t xml:space="preserve">Que el modelo, una vez en producción, excluya o marque los productos sin costo en lugar de imputarlos, para que la valorización del capital inmovilizado no dependa de un supuesto.</w:t>
      </w:r>
    </w:p>
    <w:p>
      <w:pPr>
        <w:pStyle w:val="Heading2"/>
        <w:spacing w:after="90" w:before="220"/>
      </w:pPr>
      <w:r>
        <w:rPr>
          <w:b/>
          <w:bCs/>
          <w:color w:val="C0504D"/>
          <w:sz w:val="22"/>
          <w:szCs w:val="22"/>
        </w:rPr>
        <w:t xml:space="preserve">1.3 Dashboard: Datos Antes y Después de la Corrección de Calidad</w:t>
      </w:r>
    </w:p>
    <w:p>
      <w:pPr>
        <w:spacing w:after="110" w:line="276"/>
        <w:jc w:val="both"/>
      </w:pPr>
      <w:r>
        <w:rPr>
          <w:sz w:val="21"/>
          <w:szCs w:val="21"/>
        </w:rPr>
        <w:t xml:space="preserve">El dashboard (Dashboard-Calidad-Antes-Despues.html, generado por EDA/antes_despues.py) calcula cada métrica dos veces. Antes: los datasets crudos, tal como los entrega Casa Óga, con el cálculo que haría un análisis sin revisión de calidad (se suman las claves duplicadas, se conservan los negativos, los SKUs sin costo valen cero y las categorías se usan como vienen). Después: los datasets normalizados con los criterios del plan de mejora de la sección 1.2.</w:t>
      </w:r>
    </w:p>
    <w:p>
      <w:pPr>
        <w:spacing w:after="110" w:line="276"/>
        <w:jc w:val="both"/>
      </w:pPr>
      <w:r>
        <w:rPr>
          <w:sz w:val="21"/>
          <w:szCs w:val="21"/>
        </w:rPr>
        <w:t xml:space="preserve"/>
      </w:r>
      <w:r>
        <w:drawing>
          <wp:inline xmlns:a="http://schemas.openxmlformats.org/drawingml/2006/main" xmlns:pic="http://schemas.openxmlformats.org/drawingml/2006/picture">
            <wp:extent cx="5760000" cy="3770182"/>
            <wp:docPr id="1" name="Picture 1"/>
            <wp:cNvGraphicFramePr>
              <a:graphicFrameLocks noChangeAspect="1"/>
            </wp:cNvGraphicFramePr>
            <a:graphic>
              <a:graphicData uri="http://schemas.openxmlformats.org/drawingml/2006/picture">
                <pic:pic>
                  <pic:nvPicPr>
                    <pic:cNvPr id="0" name="13_antes_despues.png"/>
                    <pic:cNvPicPr/>
                  </pic:nvPicPr>
                  <pic:blipFill>
                    <a:blip r:embed="rId10"/>
                    <a:stretch>
                      <a:fillRect/>
                    </a:stretch>
                  </pic:blipFill>
                  <pic:spPr>
                    <a:xfrm>
                      <a:off x="0" y="0"/>
                      <a:ext cx="5760000" cy="3770182"/>
                    </a:xfrm>
                    <a:prstGeom prst="rect"/>
                  </pic:spPr>
                </pic:pic>
              </a:graphicData>
            </a:graphic>
          </wp:inline>
        </w:drawing>
      </w:r>
    </w:p>
    <w:p>
      <w:pPr>
        <w:spacing w:after="110" w:line="276"/>
        <w:jc w:val="both"/>
      </w:pPr>
      <w:r>
        <w:rPr>
          <w:color w:val="595959"/>
          <w:sz w:val="18"/>
          <w:szCs w:val="18"/>
        </w:rPr>
        <w:t xml:space="preserve">Figura 1.3 · Venta anual, capital inmovilizado y venta por categoría, antes y después de la corrección.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200"/>
      </w:tblGrid>
      <w:tr>
        <w:trPr>
          <w:tblHeader/>
        </w:trPr>
        <w:tc>
          <w:tcPr>
            <w:tcW w:type="dxa" w:w="2400"/>
            <w:shd w:fill="1F3864" w:color="auto" w:val="clear"/>
            <w:tcMar>
              <w:top w:type="dxa" w:w="50"/>
              <w:left w:type="dxa" w:w="80"/>
              <w:bottom w:type="dxa" w:w="50"/>
              <w:right w:type="dxa" w:w="80"/>
            </w:tcMar>
          </w:tcPr>
          <w:p>
            <w:pPr>
              <w:spacing w:line="240"/>
              <w:jc w:val="left"/>
            </w:pPr>
            <w:r>
              <w:rPr>
                <w:b/>
                <w:bCs/>
                <w:color w:val="FFFFFF"/>
                <w:sz w:val="15"/>
                <w:szCs w:val="15"/>
              </w:rPr>
              <w:t xml:space="preserve">Métrica / gráfico comparado</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Resultado ANTES de corregir</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Resultado DESPUÉS de corregir</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Impacto / conclusión</w:t>
            </w:r>
          </w:p>
        </w:tc>
      </w:tr>
      <w:tr>
        <w:tc>
          <w:tcPr>
            <w:tcW w:type="dxa" w:w="2400"/>
            <w:tcMar>
              <w:top w:type="dxa" w:w="50"/>
              <w:left w:type="dxa" w:w="80"/>
              <w:bottom w:type="dxa" w:w="50"/>
              <w:right w:type="dxa" w:w="80"/>
            </w:tcMar>
          </w:tcPr>
          <w:p>
            <w:pPr>
              <w:spacing w:line="240"/>
              <w:jc w:val="left"/>
            </w:pPr>
            <w:r>
              <w:rPr>
                <w:color w:val="000000"/>
                <w:sz w:val="15"/>
                <w:szCs w:val="15"/>
              </w:rPr>
              <w:t xml:space="preserve">Registros de venta (mes · tienda · SKU)</w:t>
            </w:r>
          </w:p>
        </w:tc>
        <w:tc>
          <w:tcPr>
            <w:tcW w:type="dxa" w:w="2200"/>
            <w:tcMar>
              <w:top w:type="dxa" w:w="50"/>
              <w:left w:type="dxa" w:w="80"/>
              <w:bottom w:type="dxa" w:w="50"/>
              <w:right w:type="dxa" w:w="80"/>
            </w:tcMar>
          </w:tcPr>
          <w:p>
            <w:pPr>
              <w:spacing w:line="240"/>
              <w:jc w:val="left"/>
            </w:pPr>
            <w:r>
              <w:rPr>
                <w:color w:val="000000"/>
                <w:sz w:val="15"/>
                <w:szCs w:val="15"/>
              </w:rPr>
              <w:t xml:space="preserve">299.400</w:t>
            </w:r>
          </w:p>
        </w:tc>
        <w:tc>
          <w:tcPr>
            <w:tcW w:type="dxa" w:w="2200"/>
            <w:tcMar>
              <w:top w:type="dxa" w:w="50"/>
              <w:left w:type="dxa" w:w="80"/>
              <w:bottom w:type="dxa" w:w="50"/>
              <w:right w:type="dxa" w:w="80"/>
            </w:tcMar>
          </w:tcPr>
          <w:p>
            <w:pPr>
              <w:spacing w:line="240"/>
              <w:jc w:val="left"/>
            </w:pPr>
            <w:r>
              <w:rPr>
                <w:color w:val="000000"/>
                <w:sz w:val="15"/>
                <w:szCs w:val="15"/>
              </w:rPr>
              <w:t xml:space="preserve">297.022</w:t>
            </w:r>
          </w:p>
        </w:tc>
        <w:tc>
          <w:tcPr>
            <w:tcW w:type="dxa" w:w="2200"/>
            <w:tcMar>
              <w:top w:type="dxa" w:w="50"/>
              <w:left w:type="dxa" w:w="80"/>
              <w:bottom w:type="dxa" w:w="50"/>
              <w:right w:type="dxa" w:w="80"/>
            </w:tcMar>
          </w:tcPr>
          <w:p>
            <w:pPr>
              <w:spacing w:line="240"/>
              <w:jc w:val="left"/>
            </w:pPr>
            <w:r>
              <w:rPr>
                <w:color w:val="000000"/>
                <w:sz w:val="15"/>
                <w:szCs w:val="15"/>
              </w:rPr>
              <w:t xml:space="preserve">Las 2.378 claves duplicadas (H1) se reducen a un registro por clave. Sin corregir, cada posición de los 15 SKUs duplicados cuenta dos veces en ventas y en stock.</w:t>
            </w:r>
          </w:p>
        </w:tc>
      </w:tr>
      <w:tr>
        <w:tc>
          <w:tcPr>
            <w:tcW w:type="dxa" w:w="2400"/>
            <w:shd w:fill="F2F2F2" w:color="auto" w:val="clear"/>
            <w:tcMar>
              <w:top w:type="dxa" w:w="50"/>
              <w:left w:type="dxa" w:w="80"/>
              <w:bottom w:type="dxa" w:w="50"/>
              <w:right w:type="dxa" w:w="80"/>
            </w:tcMar>
          </w:tcPr>
          <w:p>
            <w:pPr>
              <w:spacing w:line="240"/>
              <w:jc w:val="left"/>
            </w:pPr>
            <w:r>
              <w:rPr>
                <w:color w:val="000000"/>
                <w:sz w:val="15"/>
                <w:szCs w:val="15"/>
              </w:rPr>
              <w:t xml:space="preserve">Venta total ene-2022 a ago-2026 · unidades</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$40.314,3 M · 930.410</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$40.083,4 M · 925.015</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−0,6%. Los duplicados inflan la venta; las devoluciones quedan neteadas contra la venta del mismo mes. El impacto en el total es bajo, pero se concentra en los 15 SKUs duplicados.</w:t>
            </w:r>
          </w:p>
        </w:tc>
      </w:tr>
      <w:tr>
        <w:tc>
          <w:tcPr>
            <w:tcW w:type="dxa" w:w="2400"/>
            <w:tcMar>
              <w:top w:type="dxa" w:w="50"/>
              <w:left w:type="dxa" w:w="80"/>
              <w:bottom w:type="dxa" w:w="50"/>
              <w:right w:type="dxa" w:w="80"/>
            </w:tcMar>
          </w:tcPr>
          <w:p>
            <w:pPr>
              <w:spacing w:line="240"/>
              <w:jc w:val="left"/>
            </w:pPr>
            <w:r>
              <w:rPr>
                <w:color w:val="000000"/>
                <w:sz w:val="15"/>
                <w:szCs w:val="15"/>
              </w:rPr>
              <w:t xml:space="preserve">Filas con stock disponible negativo</w:t>
            </w:r>
          </w:p>
        </w:tc>
        <w:tc>
          <w:tcPr>
            <w:tcW w:type="dxa" w:w="2200"/>
            <w:tcMar>
              <w:top w:type="dxa" w:w="50"/>
              <w:left w:type="dxa" w:w="80"/>
              <w:bottom w:type="dxa" w:w="50"/>
              <w:right w:type="dxa" w:w="80"/>
            </w:tcMar>
          </w:tcPr>
          <w:p>
            <w:pPr>
              <w:spacing w:line="240"/>
              <w:jc w:val="left"/>
            </w:pPr>
            <w:r>
              <w:rPr>
                <w:color w:val="000000"/>
                <w:sz w:val="15"/>
                <w:szCs w:val="15"/>
              </w:rPr>
              <w:t xml:space="preserve">1.209</w:t>
            </w:r>
          </w:p>
        </w:tc>
        <w:tc>
          <w:tcPr>
            <w:tcW w:type="dxa" w:w="2200"/>
            <w:tcMar>
              <w:top w:type="dxa" w:w="50"/>
              <w:left w:type="dxa" w:w="80"/>
              <w:bottom w:type="dxa" w:w="50"/>
              <w:right w:type="dxa" w:w="80"/>
            </w:tcMar>
          </w:tcPr>
          <w:p>
            <w:pPr>
              <w:spacing w:line="240"/>
              <w:jc w:val="left"/>
            </w:pPr>
            <w:r>
              <w:rPr>
                <w:color w:val="000000"/>
                <w:sz w:val="15"/>
                <w:szCs w:val="15"/>
              </w:rPr>
              <w:t xml:space="preserve">0</w:t>
            </w:r>
          </w:p>
        </w:tc>
        <w:tc>
          <w:tcPr>
            <w:tcW w:type="dxa" w:w="2200"/>
            <w:tcMar>
              <w:top w:type="dxa" w:w="50"/>
              <w:left w:type="dxa" w:w="80"/>
              <w:bottom w:type="dxa" w:w="50"/>
              <w:right w:type="dxa" w:w="80"/>
            </w:tcMar>
          </w:tcPr>
          <w:p>
            <w:pPr>
              <w:spacing w:line="240"/>
              <w:jc w:val="left"/>
            </w:pPr>
            <w:r>
              <w:rPr>
                <w:color w:val="000000"/>
                <w:sz w:val="15"/>
                <w:szCs w:val="15"/>
              </w:rPr>
              <w:t xml:space="preserve">Error de sincronización POS–inventario (P14): piso en 0. Sin corregir, el stock negativo baja la cobertura de la posición y la saca artificialmente del riesgo.</w:t>
            </w:r>
          </w:p>
        </w:tc>
      </w:tr>
      <w:tr>
        <w:tc>
          <w:tcPr>
            <w:tcW w:type="dxa" w:w="2400"/>
            <w:tcMar>
              <w:top w:type="dxa" w:w="50"/>
              <w:left w:type="dxa" w:w="80"/>
              <w:bottom w:type="dxa" w:w="50"/>
              <w:right w:type="dxa" w:w="80"/>
            </w:tcMar>
          </w:tcPr>
          <w:p>
            <w:pPr>
              <w:spacing w:line="240"/>
              <w:jc w:val="left"/>
            </w:pPr>
            <w:r>
              <w:rPr>
                <w:color w:val="000000"/>
                <w:sz w:val="15"/>
                <w:szCs w:val="15"/>
              </w:rPr>
              <w:t xml:space="preserve">Capital inmovilizado en tiendas a dic-2025 (a costo)</w:t>
            </w:r>
          </w:p>
        </w:tc>
        <w:tc>
          <w:tcPr>
            <w:tcW w:type="dxa" w:w="2200"/>
            <w:tcMar>
              <w:top w:type="dxa" w:w="50"/>
              <w:left w:type="dxa" w:w="80"/>
              <w:bottom w:type="dxa" w:w="50"/>
              <w:right w:type="dxa" w:w="80"/>
            </w:tcMar>
          </w:tcPr>
          <w:p>
            <w:pPr>
              <w:spacing w:line="240"/>
              <w:jc w:val="left"/>
            </w:pPr>
            <w:r>
              <w:rPr>
                <w:color w:val="000000"/>
                <w:sz w:val="15"/>
                <w:szCs w:val="15"/>
              </w:rPr>
              <w:t xml:space="preserve">$3.595,1 M</w:t>
            </w:r>
          </w:p>
        </w:tc>
        <w:tc>
          <w:tcPr>
            <w:tcW w:type="dxa" w:w="2200"/>
            <w:tcMar>
              <w:top w:type="dxa" w:w="50"/>
              <w:left w:type="dxa" w:w="80"/>
              <w:bottom w:type="dxa" w:w="50"/>
              <w:right w:type="dxa" w:w="80"/>
            </w:tcMar>
          </w:tcPr>
          <w:p>
            <w:pPr>
              <w:spacing w:line="240"/>
              <w:jc w:val="left"/>
            </w:pPr>
            <w:r>
              <w:rPr>
                <w:color w:val="000000"/>
                <w:sz w:val="15"/>
                <w:szCs w:val="15"/>
              </w:rPr>
              <w:t xml:space="preserve">$3.544,9 M</w:t>
            </w:r>
          </w:p>
        </w:tc>
        <w:tc>
          <w:tcPr>
            <w:tcW w:type="dxa" w:w="2200"/>
            <w:tcMar>
              <w:top w:type="dxa" w:w="50"/>
              <w:left w:type="dxa" w:w="80"/>
              <w:bottom w:type="dxa" w:w="50"/>
              <w:right w:type="dxa" w:w="80"/>
            </w:tcMar>
          </w:tcPr>
          <w:p>
            <w:pPr>
              <w:spacing w:line="240"/>
              <w:jc w:val="left"/>
            </w:pPr>
            <w:r>
              <w:rPr>
                <w:color w:val="000000"/>
                <w:sz w:val="15"/>
                <w:szCs w:val="15"/>
              </w:rPr>
              <w:t xml:space="preserve">−1,4%. Sin corregir, los SKUs duplicados se valúan dos veces y los 22 SKUs sin costo valen cero. Los dos errores se compensan en parte: el total parece razonable aunque esté mal por SKU.</w:t>
            </w:r>
          </w:p>
        </w:tc>
      </w:tr>
      <w:tr>
        <w:tc>
          <w:tcPr>
            <w:tcW w:type="dxa" w:w="2400"/>
            <w:tcMar>
              <w:top w:type="dxa" w:w="50"/>
              <w:left w:type="dxa" w:w="80"/>
              <w:bottom w:type="dxa" w:w="50"/>
              <w:right w:type="dxa" w:w="80"/>
            </w:tcMar>
          </w:tcPr>
          <w:p>
            <w:pPr>
              <w:spacing w:line="240"/>
              <w:jc w:val="left"/>
            </w:pPr>
            <w:r>
              <w:rPr>
                <w:color w:val="000000"/>
                <w:sz w:val="15"/>
                <w:szCs w:val="15"/>
              </w:rPr>
              <w:t xml:space="preserve">Capital inmovilizado en tiendas a ago-2026 (a costo)</w:t>
            </w:r>
          </w:p>
        </w:tc>
        <w:tc>
          <w:tcPr>
            <w:tcW w:type="dxa" w:w="2200"/>
            <w:tcMar>
              <w:top w:type="dxa" w:w="50"/>
              <w:left w:type="dxa" w:w="80"/>
              <w:bottom w:type="dxa" w:w="50"/>
              <w:right w:type="dxa" w:w="80"/>
            </w:tcMar>
          </w:tcPr>
          <w:p>
            <w:pPr>
              <w:spacing w:line="240"/>
              <w:jc w:val="left"/>
            </w:pPr>
            <w:r>
              <w:rPr>
                <w:color w:val="000000"/>
                <w:sz w:val="15"/>
                <w:szCs w:val="15"/>
              </w:rPr>
              <w:t xml:space="preserve">$3.119,6 M</w:t>
            </w:r>
          </w:p>
        </w:tc>
        <w:tc>
          <w:tcPr>
            <w:tcW w:type="dxa" w:w="2200"/>
            <w:tcMar>
              <w:top w:type="dxa" w:w="50"/>
              <w:left w:type="dxa" w:w="80"/>
              <w:bottom w:type="dxa" w:w="50"/>
              <w:right w:type="dxa" w:w="80"/>
            </w:tcMar>
          </w:tcPr>
          <w:p>
            <w:pPr>
              <w:spacing w:line="240"/>
              <w:jc w:val="left"/>
            </w:pPr>
            <w:r>
              <w:rPr>
                <w:color w:val="000000"/>
                <w:sz w:val="15"/>
                <w:szCs w:val="15"/>
              </w:rPr>
              <w:t xml:space="preserve">$3.097,6 M</w:t>
            </w:r>
          </w:p>
        </w:tc>
        <w:tc>
          <w:tcPr>
            <w:tcW w:type="dxa" w:w="2200"/>
            <w:tcMar>
              <w:top w:type="dxa" w:w="50"/>
              <w:left w:type="dxa" w:w="80"/>
              <w:bottom w:type="dxa" w:w="50"/>
              <w:right w:type="dxa" w:w="80"/>
            </w:tcMar>
          </w:tcPr>
          <w:p>
            <w:pPr>
              <w:spacing w:line="240"/>
              <w:jc w:val="left"/>
            </w:pPr>
            <w:r>
              <w:rPr>
                <w:color w:val="000000"/>
                <w:sz w:val="15"/>
                <w:szCs w:val="15"/>
              </w:rPr>
              <w:t xml:space="preserve">−0,7%. Incluye el costo supuesto de los 22 SKUs (costo de OC × 1,2321, supuesto declarado en 1.2).</w:t>
            </w:r>
          </w:p>
        </w:tc>
      </w:tr>
      <w:tr>
        <w:tc>
          <w:tcPr>
            <w:tcW w:type="dxa" w:w="2400"/>
            <w:tcMar>
              <w:top w:type="dxa" w:w="50"/>
              <w:left w:type="dxa" w:w="80"/>
              <w:bottom w:type="dxa" w:w="50"/>
              <w:right w:type="dxa" w:w="80"/>
            </w:tcMar>
          </w:tcPr>
          <w:p>
            <w:pPr>
              <w:spacing w:line="240"/>
              <w:jc w:val="left"/>
            </w:pPr>
            <w:r>
              <w:rPr>
                <w:color w:val="000000"/>
                <w:sz w:val="15"/>
                <w:szCs w:val="15"/>
              </w:rPr>
              <w:t xml:space="preserve">Valores distintos de categoría · participación de Decoración en la venta</w:t>
            </w:r>
          </w:p>
        </w:tc>
        <w:tc>
          <w:tcPr>
            <w:tcW w:type="dxa" w:w="2200"/>
            <w:tcMar>
              <w:top w:type="dxa" w:w="50"/>
              <w:left w:type="dxa" w:w="80"/>
              <w:bottom w:type="dxa" w:w="50"/>
              <w:right w:type="dxa" w:w="80"/>
            </w:tcMar>
          </w:tcPr>
          <w:p>
            <w:pPr>
              <w:spacing w:line="240"/>
              <w:jc w:val="left"/>
            </w:pPr>
            <w:r>
              <w:rPr>
                <w:color w:val="000000"/>
                <w:sz w:val="15"/>
                <w:szCs w:val="15"/>
              </w:rPr>
              <w:t xml:space="preserve">11 · 20,80%</w:t>
            </w:r>
          </w:p>
        </w:tc>
        <w:tc>
          <w:tcPr>
            <w:tcW w:type="dxa" w:w="2200"/>
            <w:tcMar>
              <w:top w:type="dxa" w:w="50"/>
              <w:left w:type="dxa" w:w="80"/>
              <w:bottom w:type="dxa" w:w="50"/>
              <w:right w:type="dxa" w:w="80"/>
            </w:tcMar>
          </w:tcPr>
          <w:p>
            <w:pPr>
              <w:spacing w:line="240"/>
              <w:jc w:val="left"/>
            </w:pPr>
            <w:r>
              <w:rPr>
                <w:color w:val="000000"/>
                <w:sz w:val="15"/>
                <w:szCs w:val="15"/>
              </w:rPr>
              <w:t xml:space="preserve">7 · 22,35%</w:t>
            </w:r>
          </w:p>
        </w:tc>
        <w:tc>
          <w:tcPr>
            <w:tcW w:type="dxa" w:w="2200"/>
            <w:tcMar>
              <w:top w:type="dxa" w:w="50"/>
              <w:left w:type="dxa" w:w="80"/>
              <w:bottom w:type="dxa" w:w="50"/>
              <w:right w:type="dxa" w:w="80"/>
            </w:tcMar>
          </w:tcPr>
          <w:p>
            <w:pPr>
              <w:spacing w:line="240"/>
              <w:jc w:val="left"/>
            </w:pPr>
            <w:r>
              <w:rPr>
                <w:color w:val="000000"/>
                <w:sz w:val="15"/>
                <w:szCs w:val="15"/>
              </w:rPr>
              <w:t xml:space="preserve">R1. Sin unificar, Decoración pierde 1,5 pp de participación (los SKUs cargados como DECO o Decoración). Afecta la elección de la categoría piloto.</w:t>
            </w:r>
          </w:p>
        </w:tc>
      </w:tr>
      <w:tr>
        <w:tc>
          <w:tcPr>
            <w:tcW w:type="dxa" w:w="2400"/>
            <w:tcMar>
              <w:top w:type="dxa" w:w="50"/>
              <w:left w:type="dxa" w:w="80"/>
              <w:bottom w:type="dxa" w:w="50"/>
              <w:right w:type="dxa" w:w="80"/>
            </w:tcMar>
          </w:tcPr>
          <w:p>
            <w:pPr>
              <w:spacing w:line="240"/>
              <w:jc w:val="left"/>
            </w:pPr>
            <w:r>
              <w:rPr>
                <w:color w:val="000000"/>
                <w:sz w:val="15"/>
                <w:szCs w:val="15"/>
              </w:rPr>
              <w:t xml:space="preserve">Descuento promedio: liquidaciones · promociones</w:t>
            </w:r>
          </w:p>
        </w:tc>
        <w:tc>
          <w:tcPr>
            <w:tcW w:type="dxa" w:w="2200"/>
            <w:tcMar>
              <w:top w:type="dxa" w:w="50"/>
              <w:left w:type="dxa" w:w="80"/>
              <w:bottom w:type="dxa" w:w="50"/>
              <w:right w:type="dxa" w:w="80"/>
            </w:tcMar>
          </w:tcPr>
          <w:p>
            <w:pPr>
              <w:spacing w:line="240"/>
              <w:jc w:val="left"/>
            </w:pPr>
            <w:r>
              <w:rPr>
                <w:color w:val="000000"/>
                <w:sz w:val="15"/>
                <w:szCs w:val="15"/>
              </w:rPr>
              <w:t xml:space="preserve">26,56% · 20,80%</w:t>
            </w:r>
          </w:p>
        </w:tc>
        <w:tc>
          <w:tcPr>
            <w:tcW w:type="dxa" w:w="2200"/>
            <w:tcMar>
              <w:top w:type="dxa" w:w="50"/>
              <w:left w:type="dxa" w:w="80"/>
              <w:bottom w:type="dxa" w:w="50"/>
              <w:right w:type="dxa" w:w="80"/>
            </w:tcMar>
          </w:tcPr>
          <w:p>
            <w:pPr>
              <w:spacing w:line="240"/>
              <w:jc w:val="left"/>
            </w:pPr>
            <w:r>
              <w:rPr>
                <w:color w:val="000000"/>
                <w:sz w:val="15"/>
                <w:szCs w:val="15"/>
              </w:rPr>
              <w:t xml:space="preserve">26,31% · 20,00%</w:t>
            </w:r>
          </w:p>
        </w:tc>
        <w:tc>
          <w:tcPr>
            <w:tcW w:type="dxa" w:w="2200"/>
            <w:tcMar>
              <w:top w:type="dxa" w:w="50"/>
              <w:left w:type="dxa" w:w="80"/>
              <w:bottom w:type="dxa" w:w="50"/>
              <w:right w:type="dxa" w:w="80"/>
            </w:tcMar>
          </w:tcPr>
          <w:p>
            <w:pPr>
              <w:spacing w:line="240"/>
              <w:jc w:val="left"/>
            </w:pPr>
            <w:r>
              <w:rPr>
                <w:color w:val="000000"/>
                <w:sz w:val="15"/>
                <w:szCs w:val="15"/>
              </w:rPr>
              <w:t xml:space="preserve">H9. Los 5 descuentos fuera de rango (120%, −10%, 150%, −15%) se excluyen como error de carga (P24-P28).</w:t>
            </w:r>
          </w:p>
        </w:tc>
      </w:tr>
      <w:tr>
        <w:tc>
          <w:tcPr>
            <w:tcW w:type="dxa" w:w="2400"/>
            <w:tcMar>
              <w:top w:type="dxa" w:w="50"/>
              <w:left w:type="dxa" w:w="80"/>
              <w:bottom w:type="dxa" w:w="50"/>
              <w:right w:type="dxa" w:w="80"/>
            </w:tcMar>
          </w:tcPr>
          <w:p>
            <w:pPr>
              <w:spacing w:line="240"/>
              <w:jc w:val="left"/>
            </w:pPr>
            <w:r>
              <w:rPr>
                <w:color w:val="000000"/>
                <w:sz w:val="15"/>
                <w:szCs w:val="15"/>
              </w:rPr>
              <w:t xml:space="preserve">Liquidaciones con fecha de fin legible</w:t>
            </w:r>
          </w:p>
        </w:tc>
        <w:tc>
          <w:tcPr>
            <w:tcW w:type="dxa" w:w="2200"/>
            <w:tcMar>
              <w:top w:type="dxa" w:w="50"/>
              <w:left w:type="dxa" w:w="80"/>
              <w:bottom w:type="dxa" w:w="50"/>
              <w:right w:type="dxa" w:w="80"/>
            </w:tcMar>
          </w:tcPr>
          <w:p>
            <w:pPr>
              <w:spacing w:line="240"/>
              <w:jc w:val="left"/>
            </w:pPr>
            <w:r>
              <w:rPr>
                <w:color w:val="000000"/>
                <w:sz w:val="15"/>
                <w:szCs w:val="15"/>
              </w:rPr>
              <w:t xml:space="preserve">585</w:t>
            </w:r>
          </w:p>
        </w:tc>
        <w:tc>
          <w:tcPr>
            <w:tcW w:type="dxa" w:w="2200"/>
            <w:tcMar>
              <w:top w:type="dxa" w:w="50"/>
              <w:left w:type="dxa" w:w="80"/>
              <w:bottom w:type="dxa" w:w="50"/>
              <w:right w:type="dxa" w:w="80"/>
            </w:tcMar>
          </w:tcPr>
          <w:p>
            <w:pPr>
              <w:spacing w:line="240"/>
              <w:jc w:val="left"/>
            </w:pPr>
            <w:r>
              <w:rPr>
                <w:color w:val="000000"/>
                <w:sz w:val="15"/>
                <w:szCs w:val="15"/>
              </w:rPr>
              <w:t xml:space="preserve">593</w:t>
            </w:r>
          </w:p>
        </w:tc>
        <w:tc>
          <w:tcPr>
            <w:tcW w:type="dxa" w:w="2200"/>
            <w:tcMar>
              <w:top w:type="dxa" w:w="50"/>
              <w:left w:type="dxa" w:w="80"/>
              <w:bottom w:type="dxa" w:w="50"/>
              <w:right w:type="dxa" w:w="80"/>
            </w:tcMar>
          </w:tcPr>
          <w:p>
            <w:pPr>
              <w:spacing w:line="240"/>
              <w:jc w:val="left"/>
            </w:pPr>
            <w:r>
              <w:rPr>
                <w:color w:val="000000"/>
                <w:sz w:val="15"/>
                <w:szCs w:val="15"/>
              </w:rPr>
              <w:t xml:space="preserve">R2. Las 8 fechas con hora se recuperan; el TP1 las había descartado como no parseables.</w:t>
            </w:r>
          </w:p>
        </w:tc>
      </w:tr>
      <w:tr>
        <w:tc>
          <w:tcPr>
            <w:tcW w:type="dxa" w:w="2400"/>
            <w:tcMar>
              <w:top w:type="dxa" w:w="50"/>
              <w:left w:type="dxa" w:w="80"/>
              <w:bottom w:type="dxa" w:w="50"/>
              <w:right w:type="dxa" w:w="80"/>
            </w:tcMar>
          </w:tcPr>
          <w:p>
            <w:pPr>
              <w:spacing w:line="240"/>
              <w:jc w:val="left"/>
            </w:pPr>
            <w:r>
              <w:rPr>
                <w:color w:val="000000"/>
                <w:sz w:val="15"/>
                <w:szCs w:val="15"/>
              </w:rPr>
              <w:t xml:space="preserve">Cumplimiento presupuestario 2022</w:t>
            </w:r>
          </w:p>
        </w:tc>
        <w:tc>
          <w:tcPr>
            <w:tcW w:type="dxa" w:w="2200"/>
            <w:tcMar>
              <w:top w:type="dxa" w:w="50"/>
              <w:left w:type="dxa" w:w="80"/>
              <w:bottom w:type="dxa" w:w="50"/>
              <w:right w:type="dxa" w:w="80"/>
            </w:tcMar>
          </w:tcPr>
          <w:p>
            <w:pPr>
              <w:spacing w:line="240"/>
              <w:jc w:val="left"/>
            </w:pPr>
            <w:r>
              <w:rPr>
                <w:color w:val="000000"/>
                <w:sz w:val="15"/>
                <w:szCs w:val="15"/>
              </w:rPr>
              <w:t xml:space="preserve">90,76%</w:t>
            </w:r>
          </w:p>
        </w:tc>
        <w:tc>
          <w:tcPr>
            <w:tcW w:type="dxa" w:w="2200"/>
            <w:tcMar>
              <w:top w:type="dxa" w:w="50"/>
              <w:left w:type="dxa" w:w="80"/>
              <w:bottom w:type="dxa" w:w="50"/>
              <w:right w:type="dxa" w:w="80"/>
            </w:tcMar>
          </w:tcPr>
          <w:p>
            <w:pPr>
              <w:spacing w:line="240"/>
              <w:jc w:val="left"/>
            </w:pPr>
            <w:r>
              <w:rPr>
                <w:color w:val="000000"/>
                <w:sz w:val="15"/>
                <w:szCs w:val="15"/>
              </w:rPr>
              <w:t xml:space="preserve">89,46%</w:t>
            </w:r>
          </w:p>
        </w:tc>
        <w:tc>
          <w:tcPr>
            <w:tcW w:type="dxa" w:w="2200"/>
            <w:tcMar>
              <w:top w:type="dxa" w:w="50"/>
              <w:left w:type="dxa" w:w="80"/>
              <w:bottom w:type="dxa" w:w="50"/>
              <w:right w:type="dxa" w:w="80"/>
            </w:tcMar>
          </w:tcPr>
          <w:p>
            <w:pPr>
              <w:spacing w:line="240"/>
              <w:jc w:val="left"/>
            </w:pPr>
            <w:r>
              <w:rPr>
                <w:color w:val="000000"/>
                <w:sz w:val="15"/>
                <w:szCs w:val="15"/>
              </w:rPr>
              <w:t xml:space="preserve">H9. Sin excluir los 309 ceros de ene-may 2022 y los 3 negativos, la venta real sin meta infla el cumplimiento en 1,3 pp.</w:t>
            </w:r>
          </w:p>
        </w:tc>
      </w:tr>
      <w:tr>
        <w:tc>
          <w:tcPr>
            <w:tcW w:type="dxa" w:w="2400"/>
            <w:tcMar>
              <w:top w:type="dxa" w:w="50"/>
              <w:left w:type="dxa" w:w="80"/>
              <w:bottom w:type="dxa" w:w="50"/>
              <w:right w:type="dxa" w:w="80"/>
            </w:tcMar>
          </w:tcPr>
          <w:p>
            <w:pPr>
              <w:spacing w:line="240"/>
              <w:jc w:val="left"/>
            </w:pPr>
            <w:r>
              <w:rPr>
                <w:color w:val="000000"/>
                <w:sz w:val="15"/>
                <w:szCs w:val="15"/>
              </w:rPr>
              <w:t xml:space="preserve">Posiciones con cobertura &gt; 12 meses a dic-2025</w:t>
            </w:r>
          </w:p>
        </w:tc>
        <w:tc>
          <w:tcPr>
            <w:tcW w:type="dxa" w:w="2200"/>
            <w:tcMar>
              <w:top w:type="dxa" w:w="50"/>
              <w:left w:type="dxa" w:w="80"/>
              <w:bottom w:type="dxa" w:w="50"/>
              <w:right w:type="dxa" w:w="80"/>
            </w:tcMar>
          </w:tcPr>
          <w:p>
            <w:pPr>
              <w:spacing w:line="240"/>
              <w:jc w:val="left"/>
            </w:pPr>
            <w:r>
              <w:rPr>
                <w:color w:val="000000"/>
                <w:sz w:val="15"/>
                <w:szCs w:val="15"/>
              </w:rPr>
              <w:t xml:space="preserve">211</w:t>
            </w:r>
          </w:p>
        </w:tc>
        <w:tc>
          <w:tcPr>
            <w:tcW w:type="dxa" w:w="2200"/>
            <w:tcMar>
              <w:top w:type="dxa" w:w="50"/>
              <w:left w:type="dxa" w:w="80"/>
              <w:bottom w:type="dxa" w:w="50"/>
              <w:right w:type="dxa" w:w="80"/>
            </w:tcMar>
          </w:tcPr>
          <w:p>
            <w:pPr>
              <w:spacing w:line="240"/>
              <w:jc w:val="left"/>
            </w:pPr>
            <w:r>
              <w:rPr>
                <w:color w:val="000000"/>
                <w:sz w:val="15"/>
                <w:szCs w:val="15"/>
              </w:rPr>
              <w:t xml:space="preserve">213</w:t>
            </w:r>
          </w:p>
        </w:tc>
        <w:tc>
          <w:tcPr>
            <w:tcW w:type="dxa" w:w="2200"/>
            <w:tcMar>
              <w:top w:type="dxa" w:w="50"/>
              <w:left w:type="dxa" w:w="80"/>
              <w:bottom w:type="dxa" w:w="50"/>
              <w:right w:type="dxa" w:w="80"/>
            </w:tcMar>
          </w:tcPr>
          <w:p>
            <w:pPr>
              <w:spacing w:line="240"/>
              <w:jc w:val="left"/>
            </w:pPr>
            <w:r>
              <w:rPr>
                <w:color w:val="000000"/>
                <w:sz w:val="15"/>
                <w:szCs w:val="15"/>
              </w:rPr>
              <w:t xml:space="preserve">Diferencia mínima en el total, pero cambian posiciones individuales por los duplicados y los negativos.</w:t>
            </w:r>
          </w:p>
        </w:tc>
      </w:tr>
      <w:tr>
        <w:tc>
          <w:tcPr>
            <w:tcW w:type="dxa" w:w="2400"/>
            <w:tcMar>
              <w:top w:type="dxa" w:w="50"/>
              <w:left w:type="dxa" w:w="80"/>
              <w:bottom w:type="dxa" w:w="50"/>
              <w:right w:type="dxa" w:w="80"/>
            </w:tcMar>
          </w:tcPr>
          <w:p>
            <w:pPr>
              <w:spacing w:line="240"/>
              <w:jc w:val="left"/>
            </w:pPr>
            <w:r>
              <w:rPr>
                <w:color w:val="000000"/>
                <w:sz w:val="15"/>
                <w:szCs w:val="15"/>
              </w:rPr>
              <w:t xml:space="preserve">Prevalencia del target (devoluciones a 0 → neteadas)</w:t>
            </w:r>
          </w:p>
        </w:tc>
        <w:tc>
          <w:tcPr>
            <w:tcW w:type="dxa" w:w="2200"/>
            <w:tcMar>
              <w:top w:type="dxa" w:w="50"/>
              <w:left w:type="dxa" w:w="80"/>
              <w:bottom w:type="dxa" w:w="50"/>
              <w:right w:type="dxa" w:w="80"/>
            </w:tcMar>
          </w:tcPr>
          <w:p>
            <w:pPr>
              <w:spacing w:line="240"/>
              <w:jc w:val="left"/>
            </w:pPr>
            <w:r>
              <w:rPr>
                <w:color w:val="000000"/>
                <w:sz w:val="15"/>
                <w:szCs w:val="15"/>
              </w:rPr>
              <w:t xml:space="preserve">2,67% · 3.509 positivos</w:t>
            </w:r>
          </w:p>
        </w:tc>
        <w:tc>
          <w:tcPr>
            <w:tcW w:type="dxa" w:w="2200"/>
            <w:tcMar>
              <w:top w:type="dxa" w:w="50"/>
              <w:left w:type="dxa" w:w="80"/>
              <w:bottom w:type="dxa" w:w="50"/>
              <w:right w:type="dxa" w:w="80"/>
            </w:tcMar>
          </w:tcPr>
          <w:p>
            <w:pPr>
              <w:spacing w:line="240"/>
              <w:jc w:val="left"/>
            </w:pPr>
            <w:r>
              <w:rPr>
                <w:color w:val="000000"/>
                <w:sz w:val="15"/>
                <w:szCs w:val="15"/>
              </w:rPr>
              <w:t xml:space="preserve">3,38% · 4.428 positivos</w:t>
            </w:r>
          </w:p>
        </w:tc>
        <w:tc>
          <w:tcPr>
            <w:tcW w:type="dxa" w:w="2200"/>
            <w:tcMar>
              <w:top w:type="dxa" w:w="50"/>
              <w:left w:type="dxa" w:w="80"/>
              <w:bottom w:type="dxa" w:w="50"/>
              <w:right w:type="dxa" w:w="80"/>
            </w:tcMar>
          </w:tcPr>
          <w:p>
            <w:pPr>
              <w:spacing w:line="240"/>
              <w:jc w:val="left"/>
            </w:pPr>
            <w:r>
              <w:rPr>
                <w:color w:val="000000"/>
                <w:sz w:val="15"/>
                <w:szCs w:val="15"/>
              </w:rPr>
              <w:t xml:space="preserve">+26%. Es el cambio más relevante para el modelo: el tratamiento de las devoluciones (P23) redefine qué posiciones son positivas, sobre todo las de muy bajo volumen.</w:t>
            </w:r>
          </w:p>
        </w:tc>
      </w:tr>
    </w:tbl>
    <w:p>
      <w:pPr>
        <w:spacing w:after="110" w:line="276" w:before="160"/>
        <w:jc w:val="both"/>
      </w:pPr>
      <w:r>
        <w:rPr>
          <w:b/>
          <w:bCs/>
          <w:sz w:val="21"/>
          <w:szCs w:val="21"/>
        </w:rPr>
        <w:t xml:space="preserve">Conclusión. </w:t>
      </w:r>
      <w:r>
        <w:rPr>
          <w:sz w:val="21"/>
          <w:szCs w:val="21"/>
        </w:rPr>
        <w:t xml:space="preserve">Los problemas de calidad mueven poco los agregados (menos de 2% en venta, unidades y capital), pero sí los cortes que usa el modelo: por SKU (duplicados y costos faltantes), por categoría (Decoración) y por posición. La prevalencia del target sube 26% según cómo se traten las devoluciones. Por eso el plan de mejora se aplica completo antes de construir el dataset de entrenamiento, y los agregados sin corregir no deben usarse como validación de que los datos están bien.</w:t>
      </w:r>
    </w:p>
    <w:p>
      <w:pPr>
        <w:pStyle w:val="Heading1"/>
        <w:shd w:fill="F2F2F2" w:color="auto" w:val="clear"/>
        <w:spacing w:after="150" w:before="300"/>
      </w:pPr>
      <w:r>
        <w:rPr>
          <w:b/>
          <w:bCs/>
          <w:sz w:val="28"/>
          <w:szCs w:val="28"/>
        </w:rPr>
        <w:t xml:space="preserve">Sección 2 · Selección de Datos y Preparación para el Modelo</w:t>
      </w:r>
    </w:p>
    <w:p>
      <w:pPr>
        <w:pStyle w:val="Heading2"/>
        <w:spacing w:after="90" w:before="220"/>
      </w:pPr>
      <w:r>
        <w:rPr>
          <w:b/>
          <w:bCs/>
          <w:color w:val="C0504D"/>
          <w:sz w:val="22"/>
          <w:szCs w:val="22"/>
        </w:rPr>
        <w:t xml:space="preserve">2.1 Definición del Dataset de Entrenamiento</w:t>
      </w:r>
    </w:p>
    <w:p>
      <w:pPr>
        <w:spacing w:after="110" w:line="276"/>
        <w:jc w:val="both"/>
      </w:pPr>
      <w:r>
        <w:rPr>
          <w:sz w:val="21"/>
          <w:szCs w:val="21"/>
        </w:rPr>
        <w:t xml:space="preserve">El dataset se construye sobre los datos ya corregidos según el plan de la sección 1.2. La definición del target, la unidad y el horizonte surgen del relevamiento con el negocio y de la comparación de cinco variables objetivo candidatas; se eligió la que menos depende del estado actual de la posición (el 68% de sus positivos son casos nuevos, no arrastre).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shd w:fill="1F3864" w:color="auto" w:val="clear"/>
            <w:tcMar>
              <w:top w:type="dxa" w:w="50"/>
              <w:left w:type="dxa" w:w="80"/>
              <w:bottom w:type="dxa" w:w="50"/>
              <w:right w:type="dxa" w:w="80"/>
            </w:tcMar>
          </w:tcPr>
          <w:p>
            <w:pPr>
              <w:spacing w:line="240"/>
              <w:jc w:val="left"/>
            </w:pPr>
            <w:r>
              <w:rPr>
                <w:b/>
                <w:bCs/>
                <w:color w:val="FFFFFF"/>
                <w:sz w:val="15"/>
                <w:szCs w:val="15"/>
              </w:rPr>
              <w:t xml:space="preserve">Elemento</w:t>
            </w:r>
          </w:p>
        </w:tc>
        <w:tc>
          <w:tcPr>
            <w:tcW w:type="dxa" w:w="5500"/>
            <w:shd w:fill="1F3864" w:color="auto" w:val="clear"/>
            <w:tcMar>
              <w:top w:type="dxa" w:w="50"/>
              <w:left w:type="dxa" w:w="80"/>
              <w:bottom w:type="dxa" w:w="50"/>
              <w:right w:type="dxa" w:w="80"/>
            </w:tcMar>
          </w:tcPr>
          <w:p>
            <w:pPr>
              <w:spacing w:line="240"/>
              <w:jc w:val="left"/>
            </w:pPr>
            <w:r>
              <w:rPr>
                <w:b/>
                <w:bCs/>
                <w:color w:val="FFFFFF"/>
                <w:sz w:val="15"/>
                <w:szCs w:val="15"/>
              </w:rPr>
              <w:t xml:space="preserve">Definición del equipo</w:t>
            </w:r>
          </w:p>
        </w:tc>
      </w:tr>
      <w:tr>
        <w:tc>
          <w:tcPr>
            <w:tcW w:type="dxa" w:w="3500"/>
            <w:tcMar>
              <w:top w:type="dxa" w:w="50"/>
              <w:left w:type="dxa" w:w="80"/>
              <w:bottom w:type="dxa" w:w="50"/>
              <w:right w:type="dxa" w:w="80"/>
            </w:tcMar>
          </w:tcPr>
          <w:p>
            <w:pPr>
              <w:spacing w:line="240"/>
              <w:jc w:val="left"/>
            </w:pPr>
            <w:r>
              <w:rPr>
                <w:b w:val="false"/>
                <w:bCs w:val="false"/>
                <w:color w:val="000000"/>
                <w:sz w:val="17"/>
                <w:szCs w:val="17"/>
              </w:rPr>
              <w:t xml:space="preserve">Variable objetivo (target) del modelo</w:t>
            </w:r>
          </w:p>
        </w:tc>
        <w:tc>
          <w:tcPr>
            <w:tcW w:type="dxa" w:w="5500"/>
            <w:tcMar>
              <w:top w:type="dxa" w:w="50"/>
              <w:left w:type="dxa" w:w="80"/>
              <w:bottom w:type="dxa" w:w="50"/>
              <w:right w:type="dxa" w:w="80"/>
            </w:tcMar>
          </w:tcPr>
          <w:p>
            <w:pPr>
              <w:spacing w:line="240"/>
              <w:jc w:val="left"/>
            </w:pPr>
            <w:r>
              <w:rPr>
                <w:color w:val="000000"/>
                <w:sz w:val="15"/>
                <w:szCs w:val="15"/>
              </w:rPr>
              <w:t xml:space="preserve">Binaria. Vale 1 si la posición SKU–tienda tiene cobertura mayor a 12 meses dentro de 3 meses (t+3). Cobertura = stock disponible / promedio mensual de unidades vendidas de los últimos 12 meses, con las devoluciones neteadas. Se excluyen los SKUs discontinuados, que van a una lista aparte con regla fija.</w:t>
            </w:r>
          </w:p>
          <w:p>
            <w:pPr>
              <w:spacing w:line="240"/>
              <w:jc w:val="left"/>
            </w:pPr>
            <w:r>
              <w:rPr>
                <w:color w:val="000000"/>
                <w:sz w:val="15"/>
                <w:szCs w:val="15"/>
              </w:rPr>
              <w:t xml:space="preserve">Positivos: 4.428 de 131.189 filas (3,38%). Se prioriza recall: el negocio declaró más costoso el falso negativo.</w:t>
            </w:r>
          </w:p>
          <w:p>
            <w:pPr>
              <w:spacing w:line="240"/>
              <w:jc w:val="left"/>
            </w:pPr>
            <w:r>
              <w:rPr>
                <w:color w:val="000000"/>
                <w:sz w:val="15"/>
                <w:szCs w:val="15"/>
              </w:rPr>
              <w:t xml:space="preserve">Estado: propuesta del equipo, pendiente de aprobación de María G. (Comercial).</w:t>
            </w:r>
          </w:p>
        </w:tc>
      </w:tr>
      <w:tr>
        <w:tc>
          <w:tcPr>
            <w:tcW w:type="dxa" w:w="3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Unidad de análisis / granularidad (ej. cliente-mes, SKU-tienda-mes)</w:t>
            </w:r>
          </w:p>
        </w:tc>
        <w:tc>
          <w:tcPr>
            <w:tcW w:type="dxa" w:w="5500"/>
            <w:shd w:fill="F2F2F2" w:color="auto" w:val="clear"/>
            <w:tcMar>
              <w:top w:type="dxa" w:w="50"/>
              <w:left w:type="dxa" w:w="80"/>
              <w:bottom w:type="dxa" w:w="50"/>
              <w:right w:type="dxa" w:w="80"/>
            </w:tcMar>
          </w:tcPr>
          <w:p>
            <w:pPr>
              <w:spacing w:line="240"/>
              <w:jc w:val="left"/>
            </w:pPr>
            <w:r>
              <w:rPr>
                <w:color w:val="000000"/>
                <w:sz w:val="15"/>
                <w:szCs w:val="15"/>
              </w:rPr>
              <w:t xml:space="preserve">SKU–tienda–mes. Una fila por posición y mes de corte t.</w:t>
            </w:r>
          </w:p>
          <w:p>
            <w:pPr>
              <w:spacing w:line="240"/>
              <w:jc w:val="left"/>
            </w:pPr>
            <w:r>
              <w:rPr>
                <w:color w:val="000000"/>
                <w:sz w:val="15"/>
                <w:szCs w:val="15"/>
              </w:rPr>
              <w:t xml:space="preserve">Universo: posiciones con stock disponible &gt; 0 en t, no discontinuadas, con al menos 12 meses de historia y con la posición observada en t+3.</w:t>
            </w:r>
          </w:p>
        </w:tc>
      </w:tr>
      <w:tr>
        <w:tc>
          <w:tcPr>
            <w:tcW w:type="dxa" w:w="3500"/>
            <w:tcMar>
              <w:top w:type="dxa" w:w="50"/>
              <w:left w:type="dxa" w:w="80"/>
              <w:bottom w:type="dxa" w:w="50"/>
              <w:right w:type="dxa" w:w="80"/>
            </w:tcMar>
          </w:tcPr>
          <w:p>
            <w:pPr>
              <w:spacing w:line="240"/>
              <w:jc w:val="left"/>
            </w:pPr>
            <w:r>
              <w:rPr>
                <w:b w:val="false"/>
                <w:bCs w:val="false"/>
                <w:color w:val="000000"/>
                <w:sz w:val="17"/>
                <w:szCs w:val="17"/>
              </w:rPr>
              <w:t xml:space="preserve">Features candidatas (variables predictoras a evaluar)</w:t>
            </w:r>
          </w:p>
        </w:tc>
        <w:tc>
          <w:tcPr>
            <w:tcW w:type="dxa" w:w="5500"/>
            <w:tcMar>
              <w:top w:type="dxa" w:w="50"/>
              <w:left w:type="dxa" w:w="80"/>
              <w:bottom w:type="dxa" w:w="50"/>
              <w:right w:type="dxa" w:w="80"/>
            </w:tcMar>
          </w:tcPr>
          <w:p>
            <w:pPr>
              <w:spacing w:line="240"/>
              <w:jc w:val="left"/>
            </w:pPr>
            <w:r>
              <w:rPr>
                <w:color w:val="000000"/>
                <w:sz w:val="15"/>
                <w:szCs w:val="15"/>
              </w:rPr>
              <w:t xml:space="preserve">67 features (62 numéricas y 5 categóricas), todas calculadas con información disponible al cierre del mes t. Se incluyen todas las candidatas con fundamento de negocio; la selección final se hace en el modelado:</w:t>
            </w:r>
          </w:p>
          <w:p>
            <w:pPr>
              <w:spacing w:line="240"/>
              <w:jc w:val="left"/>
            </w:pPr>
            <w:r>
              <w:rPr>
                <w:color w:val="000000"/>
                <w:sz w:val="15"/>
                <w:szCs w:val="15"/>
              </w:rPr>
              <w:t xml:space="preserve">• Demanda de la posición (16): unidades del mes, de t-1 y t-2, de 3 y 6 meses, promedio y máximo de 12 meses, coeficiente de variación, tendencia 3 vs 12 meses, meses con venta, meses consecutivos sin venta, indicador sin venta en 12 meses, venta de 3 meses, precio medio realizado, descuento implícito, antigüedad de la posición.</w:t>
            </w:r>
          </w:p>
          <w:p>
            <w:pPr>
              <w:spacing w:line="240"/>
              <w:jc w:val="left"/>
            </w:pPr>
            <w:r>
              <w:rPr>
                <w:color w:val="000000"/>
                <w:sz w:val="15"/>
                <w:szCs w:val="15"/>
              </w:rPr>
              <w:t xml:space="preserve">• Stock de la posición (8): stock disponible, en tránsito y su proporción sobre el disponible, variación a 3 meses, cobertura actual y de hace 3 meses, cambio de cobertura, capital inmovilizado.</w:t>
            </w:r>
          </w:p>
          <w:p>
            <w:pPr>
              <w:spacing w:line="240"/>
              <w:jc w:val="left"/>
            </w:pPr>
            <w:r>
              <w:rPr>
                <w:color w:val="000000"/>
                <w:sz w:val="15"/>
                <w:szCs w:val="15"/>
              </w:rPr>
              <w:t xml:space="preserve">• SKU en la cadena (8): stock y cobertura del SKU en las 28 tiendas, tiendas con stock y con cobertura &gt; 12, stock y cobertura del depósito central, tendencia del SKU en la cadena, stock de la posición contra el promedio del SKU.</w:t>
            </w:r>
          </w:p>
          <w:p>
            <w:pPr>
              <w:spacing w:line="240"/>
              <w:jc w:val="left"/>
            </w:pPr>
            <w:r>
              <w:rPr>
                <w:color w:val="000000"/>
                <w:sz w:val="15"/>
                <w:szCs w:val="15"/>
              </w:rPr>
              <w:t xml:space="preserve">• Contexto de la tienda (6): tendencia de la tienda y de la categoría en la tienda, peso de la posición en la tienda, posiciones con stock, proporción de posiciones de la tienda con cobertura &gt; 12, cumplimiento presupuestario de 3 meses.</w:t>
            </w:r>
          </w:p>
          <w:p>
            <w:pPr>
              <w:spacing w:line="240"/>
              <w:jc w:val="left"/>
            </w:pPr>
            <w:r>
              <w:rPr>
                <w:color w:val="000000"/>
                <w:sz w:val="15"/>
                <w:szCs w:val="15"/>
              </w:rPr>
              <w:t xml:space="preserve">• Abastecimiento (9): OC recibidas en 3 y 12 meses, cantidad de OC, meses desde la última OC, OC pendientes, transferencias recibidas en 3 y 12 meses y enviadas, lead time y pedido mínimo.</w:t>
            </w:r>
          </w:p>
          <w:p>
            <w:pPr>
              <w:spacing w:line="240"/>
              <w:jc w:val="left"/>
            </w:pPr>
            <w:r>
              <w:rPr>
                <w:color w:val="000000"/>
                <w:sz w:val="15"/>
                <w:szCs w:val="15"/>
              </w:rPr>
              <w:t xml:space="preserve">• Acciones comerciales (7): liquidación activa y su descuento, liquidaciones de la posición y del SKU en 12 meses, promociones de la categoría activas y en 12 meses, descuento máximo.</w:t>
            </w:r>
          </w:p>
          <w:p>
            <w:pPr>
              <w:spacing w:line="240"/>
              <w:jc w:val="left"/>
            </w:pPr>
            <w:r>
              <w:rPr>
                <w:color w:val="000000"/>
                <w:sz w:val="15"/>
                <w:szCs w:val="15"/>
              </w:rPr>
              <w:t xml:space="preserve">• Producto (4 + 3 categóricas): precio de lista, precio relativo a la subcategoría, margen, antigüedad del SKU; categoría, subcategoría y proveedor.</w:t>
            </w:r>
          </w:p>
          <w:p>
            <w:pPr>
              <w:spacing w:line="240"/>
              <w:jc w:val="left"/>
            </w:pPr>
            <w:r>
              <w:rPr>
                <w:color w:val="000000"/>
                <w:sz w:val="15"/>
                <w:szCs w:val="15"/>
              </w:rPr>
              <w:t xml:space="preserve">• Tienda (1 + 2 categóricas): m² de venta; región y formato.  • Temporal (2): mes del año y meses con evento comercial fijo entre t+1 y t+3.</w:t>
            </w:r>
          </w:p>
          <w:p>
            <w:pPr>
              <w:spacing w:line="240"/>
              <w:jc w:val="left"/>
            </w:pPr>
            <w:r>
              <w:rPr>
                <w:color w:val="000000"/>
                <w:sz w:val="15"/>
                <w:szCs w:val="15"/>
              </w:rPr>
              <w:t xml:space="preserve">Las variables excluidas y el motivo se detallan en la tabla «Variables excluidas».</w:t>
            </w:r>
          </w:p>
        </w:tc>
      </w:tr>
      <w:tr>
        <w:tc>
          <w:tcPr>
            <w:tcW w:type="dxa" w:w="3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Fuentes / datasets utilizados (post-joins)</w:t>
            </w:r>
          </w:p>
        </w:tc>
        <w:tc>
          <w:tcPr>
            <w:tcW w:type="dxa" w:w="5500"/>
            <w:shd w:fill="F2F2F2" w:color="auto" w:val="clear"/>
            <w:tcMar>
              <w:top w:type="dxa" w:w="50"/>
              <w:left w:type="dxa" w:w="80"/>
              <w:bottom w:type="dxa" w:w="50"/>
              <w:right w:type="dxa" w:w="80"/>
            </w:tcMar>
          </w:tcPr>
          <w:p>
            <w:pPr>
              <w:spacing w:line="240"/>
              <w:jc w:val="left"/>
            </w:pPr>
            <w:r>
              <w:rPr>
                <w:color w:val="000000"/>
                <w:sz w:val="15"/>
                <w:szCs w:val="15"/>
              </w:rPr>
              <w:t xml:space="preserve">11 de las 15 fuentes, sobre Datasets_Normalizados (corte ago-2026):</w:t>
            </w:r>
          </w:p>
          <w:p>
            <w:pPr>
              <w:spacing w:line="240"/>
              <w:jc w:val="left"/>
            </w:pPr>
            <w:r>
              <w:rPr>
                <w:color w:val="000000"/>
                <w:sz w:val="15"/>
                <w:szCs w:val="15"/>
              </w:rPr>
              <w:t xml:space="preserve">• Ventas ⋈ Stock por (mes, tienda, SKU): panel base, tras deduplicar y tratar negativos.</w:t>
            </w:r>
          </w:p>
          <w:p>
            <w:pPr>
              <w:spacing w:line="240"/>
              <w:jc w:val="left"/>
            </w:pPr>
            <w:r>
              <w:rPr>
                <w:color w:val="000000"/>
                <w:sz w:val="15"/>
                <w:szCs w:val="15"/>
              </w:rPr>
              <w:t xml:space="preserve">• Productos_catalogo y Proveedores por SKU y proveedor · Tiendas por tienda.</w:t>
            </w:r>
          </w:p>
          <w:p>
            <w:pPr>
              <w:spacing w:line="240"/>
              <w:jc w:val="left"/>
            </w:pPr>
            <w:r>
              <w:rPr>
                <w:color w:val="000000"/>
                <w:sz w:val="15"/>
                <w:szCs w:val="15"/>
              </w:rPr>
              <w:t xml:space="preserve">• Stock_Deposito_Central y Ordenes_Compra por (mes, SKU).</w:t>
            </w:r>
          </w:p>
          <w:p>
            <w:pPr>
              <w:spacing w:line="240"/>
              <w:jc w:val="left"/>
            </w:pPr>
            <w:r>
              <w:rPr>
                <w:color w:val="000000"/>
                <w:sz w:val="15"/>
                <w:szCs w:val="15"/>
              </w:rPr>
              <w:t xml:space="preserve">• Transferencias_Stock y Liquidaciones por (mes, tienda, SKU) · Promociones_Comerciales por (mes, categoría).</w:t>
            </w:r>
          </w:p>
          <w:p>
            <w:pPr>
              <w:spacing w:line="240"/>
              <w:jc w:val="left"/>
            </w:pPr>
            <w:r>
              <w:rPr>
                <w:color w:val="000000"/>
                <w:sz w:val="15"/>
                <w:szCs w:val="15"/>
              </w:rPr>
              <w:t xml:space="preserve">• Presupuesto por (mes, tienda, categoría), solo el cumplimiento pasado.</w:t>
            </w:r>
          </w:p>
          <w:p>
            <w:pPr>
              <w:spacing w:line="240"/>
              <w:jc w:val="left"/>
            </w:pPr>
            <w:r>
              <w:rPr>
                <w:color w:val="000000"/>
                <w:sz w:val="15"/>
                <w:szCs w:val="15"/>
              </w:rPr>
              <w:t xml:space="preserve">No se usan Calendario (no cubre 2026; los eventos fijos se derivan de la fecha), Historial_Precios (reconstrucción, P9-P10), Devoluciones (no cubre 2026; ya netea en Ventas) ni Costo_almacenamiento (constante por categoría). Ninguna fuente contiene datos personales: no aplica anonimización (Ley 25.326).</w:t>
            </w:r>
          </w:p>
        </w:tc>
      </w:tr>
      <w:tr>
        <w:tc>
          <w:tcPr>
            <w:tcW w:type="dxa" w:w="3500"/>
            <w:tcMar>
              <w:top w:type="dxa" w:w="50"/>
              <w:left w:type="dxa" w:w="80"/>
              <w:bottom w:type="dxa" w:w="50"/>
              <w:right w:type="dxa" w:w="80"/>
            </w:tcMar>
          </w:tcPr>
          <w:p>
            <w:pPr>
              <w:spacing w:line="240"/>
              <w:jc w:val="left"/>
            </w:pPr>
            <w:r>
              <w:rPr>
                <w:b w:val="false"/>
                <w:bCs w:val="false"/>
                <w:color w:val="000000"/>
                <w:sz w:val="17"/>
                <w:szCs w:val="17"/>
              </w:rPr>
              <w:t xml:space="preserve">Período o ventana temporal cubierta</w:t>
            </w:r>
          </w:p>
        </w:tc>
        <w:tc>
          <w:tcPr>
            <w:tcW w:type="dxa" w:w="5500"/>
            <w:tcMar>
              <w:top w:type="dxa" w:w="50"/>
              <w:left w:type="dxa" w:w="80"/>
              <w:bottom w:type="dxa" w:w="50"/>
              <w:right w:type="dxa" w:w="80"/>
            </w:tcMar>
          </w:tcPr>
          <w:p>
            <w:pPr>
              <w:spacing w:line="240"/>
              <w:jc w:val="left"/>
            </w:pPr>
            <w:r>
              <w:rPr>
                <w:color w:val="000000"/>
                <w:sz w:val="15"/>
                <w:szCs w:val="15"/>
              </w:rPr>
              <w:t xml:space="preserve">Cortes t de dic-2022 a may-2026 (42 meses), con etiquetas hasta ago-2026. Las ventanas de 12 meses usan historia desde ene-2022.</w:t>
            </w:r>
          </w:p>
        </w:tc>
      </w:tr>
      <w:tr>
        <w:tc>
          <w:tcPr>
            <w:tcW w:type="dxa" w:w="3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Esquema de partición (train / test / validación)</w:t>
            </w:r>
          </w:p>
        </w:tc>
        <w:tc>
          <w:tcPr>
            <w:tcW w:type="dxa" w:w="5500"/>
            <w:shd w:fill="F2F2F2" w:color="auto" w:val="clear"/>
            <w:tcMar>
              <w:top w:type="dxa" w:w="50"/>
              <w:left w:type="dxa" w:w="80"/>
              <w:bottom w:type="dxa" w:w="50"/>
              <w:right w:type="dxa" w:w="80"/>
            </w:tcMar>
          </w:tcPr>
          <w:p>
            <w:pPr>
              <w:spacing w:line="240"/>
              <w:jc w:val="left"/>
            </w:pPr>
            <w:r>
              <w:rPr>
                <w:color w:val="000000"/>
                <w:sz w:val="15"/>
                <w:szCs w:val="15"/>
              </w:rPr>
              <w:t xml:space="preserve">Temporal, nunca aleatoria, con un embargo de 3 meses (igual al horizonte) entre bloques para que ninguna etiqueta de un bloque caiga en el siguiente:</w:t>
            </w:r>
          </w:p>
          <w:p>
            <w:pPr>
              <w:spacing w:line="240"/>
              <w:jc w:val="left"/>
            </w:pPr>
            <w:r>
              <w:rPr>
                <w:color w:val="000000"/>
                <w:sz w:val="15"/>
                <w:szCs w:val="15"/>
              </w:rPr>
              <w:t xml:space="preserve">• Train: t de dic-2022 a dic-2024 · 48.631 filas · 1,78% positivos.</w:t>
            </w:r>
          </w:p>
          <w:p>
            <w:pPr>
              <w:spacing w:line="240"/>
              <w:jc w:val="left"/>
            </w:pPr>
            <w:r>
              <w:rPr>
                <w:color w:val="000000"/>
                <w:sz w:val="15"/>
                <w:szCs w:val="15"/>
              </w:rPr>
              <w:t xml:space="preserve">• Validación: t de abr-2025 a sep-2025 · 28.895 filas · 1,94% positivos.</w:t>
            </w:r>
          </w:p>
          <w:p>
            <w:pPr>
              <w:spacing w:line="240"/>
              <w:jc w:val="left"/>
            </w:pPr>
            <w:r>
              <w:rPr>
                <w:color w:val="000000"/>
                <w:sz w:val="15"/>
                <w:szCs w:val="15"/>
              </w:rPr>
              <w:t xml:space="preserve">• Test: t de ene-2026 a may-2026 · 25.888 filas · 9,03% positivos.</w:t>
            </w:r>
          </w:p>
          <w:p>
            <w:pPr>
              <w:spacing w:line="240"/>
              <w:jc w:val="left"/>
            </w:pPr>
            <w:r>
              <w:rPr>
                <w:color w:val="000000"/>
                <w:sz w:val="15"/>
                <w:szCs w:val="15"/>
              </w:rPr>
              <w:t xml:space="preserve">• Embargo (no se evalúa): ene-mar 2025 y oct-dic 2025 · 27.775 filas. El modelo final se reentrena con todas las filas.</w:t>
            </w:r>
          </w:p>
          <w:p>
            <w:pPr>
              <w:spacing w:line="240"/>
              <w:jc w:val="left"/>
            </w:pPr>
            <w:r>
              <w:rPr>
                <w:color w:val="000000"/>
                <w:sz w:val="15"/>
                <w:szCs w:val="15"/>
              </w:rPr>
              <w:t xml:space="preserve">La prevalencia de 2026 es 4,6 veces la de 2023-2025 (la venta cae 13,2%): el test mide si el modelo resiste ese cambio de régimen.</w:t>
            </w:r>
          </w:p>
        </w:tc>
      </w:tr>
      <w:tr>
        <w:tc>
          <w:tcPr>
            <w:tcW w:type="dxa" w:w="3500"/>
            <w:tcMar>
              <w:top w:type="dxa" w:w="50"/>
              <w:left w:type="dxa" w:w="80"/>
              <w:bottom w:type="dxa" w:w="50"/>
              <w:right w:type="dxa" w:w="80"/>
            </w:tcMar>
          </w:tcPr>
          <w:p>
            <w:pPr>
              <w:spacing w:line="240"/>
              <w:jc w:val="left"/>
            </w:pPr>
            <w:r>
              <w:rPr>
                <w:b w:val="false"/>
                <w:bCs w:val="false"/>
                <w:color w:val="000000"/>
                <w:sz w:val="17"/>
                <w:szCs w:val="17"/>
              </w:rPr>
              <w:t xml:space="preserve">Nombre y versión del dataset final de entrenamiento</w:t>
            </w:r>
          </w:p>
        </w:tc>
        <w:tc>
          <w:tcPr>
            <w:tcW w:type="dxa" w:w="5500"/>
            <w:tcMar>
              <w:top w:type="dxa" w:w="50"/>
              <w:left w:type="dxa" w:w="80"/>
              <w:bottom w:type="dxa" w:w="50"/>
              <w:right w:type="dxa" w:w="80"/>
            </w:tcMar>
          </w:tcPr>
          <w:p>
            <w:pPr>
              <w:spacing w:line="240"/>
              <w:jc w:val="left"/>
            </w:pPr>
            <w:r>
              <w:rPr>
                <w:color w:val="000000"/>
                <w:sz w:val="15"/>
                <w:szCs w:val="15"/>
              </w:rPr>
              <w:t xml:space="preserve">dataset_entrenamiento_v2 (Datasets_Modelo/dataset_entrenamiento_v2.parquet). Versión transformada: dataset_entrenamiento_v2_transformado.parquet. Diccionario: diccionario_features_v2.csv. Generado por Modelo/construir_dataset_modelo.py, reproducible desde Datasets_Normalizados. La v2 reemplaza a una v1 interna de 39 features que no llegó a publicarse.</w:t>
            </w:r>
          </w:p>
        </w:tc>
      </w:tr>
      <w:tr>
        <w:tc>
          <w:tcPr>
            <w:tcW w:type="dxa" w:w="35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Cantidad final de filas y columnas (features)</w:t>
            </w:r>
          </w:p>
        </w:tc>
        <w:tc>
          <w:tcPr>
            <w:tcW w:type="dxa" w:w="5500"/>
            <w:shd w:fill="F2F2F2" w:color="auto" w:val="clear"/>
            <w:tcMar>
              <w:top w:type="dxa" w:w="50"/>
              <w:left w:type="dxa" w:w="80"/>
              <w:bottom w:type="dxa" w:w="50"/>
              <w:right w:type="dxa" w:w="80"/>
            </w:tcMar>
          </w:tcPr>
          <w:p>
            <w:pPr>
              <w:spacing w:line="240"/>
              <w:jc w:val="left"/>
            </w:pPr>
            <w:r>
              <w:rPr>
                <w:color w:val="000000"/>
                <w:sz w:val="15"/>
                <w:szCs w:val="15"/>
              </w:rPr>
              <w:t xml:space="preserve">131.189 filas × 67 features, más 3 identificadores (mes, tienda, SKU), el target, la partición y una marca de costo imputado. Cubre 8.587 posiciones, 682 SKUs y 28 tiendas. Después de la codificación one-hot: 113 columnas de features.</w:t>
            </w:r>
          </w:p>
        </w:tc>
      </w:tr>
    </w:tbl>
    <w:p>
      <w:pPr>
        <w:spacing w:after="70" w:before="180"/>
      </w:pPr>
      <w:r>
        <w:rPr>
          <w:b/>
          <w:bCs/>
          <w:sz w:val="21"/>
          <w:szCs w:val="21"/>
        </w:rPr>
        <w:t xml:space="preserve">Criterios de selección de fuentes</w:t>
      </w:r>
    </w:p>
    <w:p>
      <w:pPr>
        <w:spacing w:after="110" w:line="276"/>
        <w:jc w:val="both"/>
      </w:pPr>
      <w:r>
        <w:rPr>
          <w:sz w:val="21"/>
          <w:szCs w:val="21"/>
        </w:rPr>
        <w:t xml:space="preserve">Cada fuente se evaluó por relevancia para el target, disponibilidad histórica, calidad, riesgo de privacidad, accionabilidad y riesgo de sesgo.</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800"/>
        <w:gridCol w:w="4600"/>
      </w:tblGrid>
      <w:tr>
        <w:trPr>
          <w:tblHeader/>
        </w:trPr>
        <w:tc>
          <w:tcPr>
            <w:tcW w:type="dxa" w:w="2600"/>
            <w:shd w:fill="1F3864" w:color="auto" w:val="clear"/>
            <w:tcMar>
              <w:top w:type="dxa" w:w="50"/>
              <w:left w:type="dxa" w:w="80"/>
              <w:bottom w:type="dxa" w:w="50"/>
              <w:right w:type="dxa" w:w="80"/>
            </w:tcMar>
          </w:tcPr>
          <w:p>
            <w:pPr>
              <w:spacing w:line="240"/>
              <w:jc w:val="left"/>
            </w:pPr>
            <w:r>
              <w:rPr>
                <w:b/>
                <w:bCs/>
                <w:color w:val="FFFFFF"/>
                <w:sz w:val="15"/>
                <w:szCs w:val="15"/>
              </w:rPr>
              <w:t xml:space="preserve">Fuente</w:t>
            </w:r>
          </w:p>
        </w:tc>
        <w:tc>
          <w:tcPr>
            <w:tcW w:type="dxa" w:w="1000"/>
            <w:shd w:fill="1F3864" w:color="auto" w:val="clear"/>
            <w:tcMar>
              <w:top w:type="dxa" w:w="50"/>
              <w:left w:type="dxa" w:w="80"/>
              <w:bottom w:type="dxa" w:w="50"/>
              <w:right w:type="dxa" w:w="80"/>
            </w:tcMar>
          </w:tcPr>
          <w:p>
            <w:pPr>
              <w:spacing w:line="240"/>
              <w:jc w:val="left"/>
            </w:pPr>
            <w:r>
              <w:rPr>
                <w:b/>
                <w:bCs/>
                <w:color w:val="FFFFFF"/>
                <w:sz w:val="15"/>
                <w:szCs w:val="15"/>
              </w:rPr>
              <w:t xml:space="preserve">Relevancia</w:t>
            </w:r>
          </w:p>
        </w:tc>
        <w:tc>
          <w:tcPr>
            <w:tcW w:type="dxa" w:w="800"/>
            <w:shd w:fill="1F3864" w:color="auto" w:val="clear"/>
            <w:tcMar>
              <w:top w:type="dxa" w:w="50"/>
              <w:left w:type="dxa" w:w="80"/>
              <w:bottom w:type="dxa" w:w="50"/>
              <w:right w:type="dxa" w:w="80"/>
            </w:tcMar>
          </w:tcPr>
          <w:p>
            <w:pPr>
              <w:spacing w:line="240"/>
              <w:jc w:val="left"/>
            </w:pPr>
            <w:r>
              <w:rPr>
                <w:b/>
                <w:bCs/>
                <w:color w:val="FFFFFF"/>
                <w:sz w:val="15"/>
                <w:szCs w:val="15"/>
              </w:rPr>
              <w:t xml:space="preserve">¿Se usa?</w:t>
            </w:r>
          </w:p>
        </w:tc>
        <w:tc>
          <w:tcPr>
            <w:tcW w:type="dxa" w:w="4600"/>
            <w:shd w:fill="1F3864" w:color="auto" w:val="clear"/>
            <w:tcMar>
              <w:top w:type="dxa" w:w="50"/>
              <w:left w:type="dxa" w:w="80"/>
              <w:bottom w:type="dxa" w:w="50"/>
              <w:right w:type="dxa" w:w="80"/>
            </w:tcMar>
          </w:tcPr>
          <w:p>
            <w:pPr>
              <w:spacing w:line="240"/>
              <w:jc w:val="left"/>
            </w:pPr>
            <w:r>
              <w:rPr>
                <w:b/>
                <w:bCs/>
                <w:color w:val="FFFFFF"/>
                <w:sz w:val="15"/>
                <w:szCs w:val="15"/>
              </w:rPr>
              <w:t xml:space="preserve">Criterio</w:t>
            </w:r>
          </w:p>
        </w:tc>
      </w:tr>
      <w:tr>
        <w:tc>
          <w:tcPr>
            <w:tcW w:type="dxa" w:w="2600"/>
            <w:tcMar>
              <w:top w:type="dxa" w:w="50"/>
              <w:left w:type="dxa" w:w="80"/>
              <w:bottom w:type="dxa" w:w="50"/>
              <w:right w:type="dxa" w:w="80"/>
            </w:tcMar>
          </w:tcPr>
          <w:p>
            <w:pPr>
              <w:spacing w:line="240"/>
              <w:jc w:val="left"/>
            </w:pPr>
            <w:r>
              <w:rPr>
                <w:color w:val="000000"/>
                <w:sz w:val="15"/>
                <w:szCs w:val="15"/>
              </w:rPr>
              <w:t xml:space="preserve">Ventas_SKU_tienda_mensual</w:t>
            </w:r>
          </w:p>
        </w:tc>
        <w:tc>
          <w:tcPr>
            <w:tcW w:type="dxa" w:w="1000"/>
            <w:tcMar>
              <w:top w:type="dxa" w:w="50"/>
              <w:left w:type="dxa" w:w="80"/>
              <w:bottom w:type="dxa" w:w="50"/>
              <w:right w:type="dxa" w:w="80"/>
            </w:tcMar>
          </w:tcPr>
          <w:p>
            <w:pPr>
              <w:spacing w:line="240"/>
              <w:jc w:val="left"/>
            </w:pPr>
            <w:r>
              <w:rPr>
                <w:color w:val="000000"/>
                <w:sz w:val="15"/>
                <w:szCs w:val="15"/>
              </w:rPr>
              <w:t xml:space="preserve">Alta</w:t>
            </w:r>
          </w:p>
        </w:tc>
        <w:tc>
          <w:tcPr>
            <w:tcW w:type="dxa" w:w="800"/>
            <w:tcMar>
              <w:top w:type="dxa" w:w="50"/>
              <w:left w:type="dxa" w:w="80"/>
              <w:bottom w:type="dxa" w:w="50"/>
              <w:right w:type="dxa" w:w="80"/>
            </w:tcMar>
          </w:tcPr>
          <w:p>
            <w:pPr>
              <w:spacing w:line="240"/>
              <w:jc w:val="left"/>
            </w:pPr>
            <w:r>
              <w:rPr>
                <w:color w:val="000000"/>
                <w:sz w:val="15"/>
                <w:szCs w:val="15"/>
              </w:rPr>
              <w:t xml:space="preserve">Sí</w:t>
            </w:r>
          </w:p>
        </w:tc>
        <w:tc>
          <w:tcPr>
            <w:tcW w:type="dxa" w:w="4600"/>
            <w:tcMar>
              <w:top w:type="dxa" w:w="50"/>
              <w:left w:type="dxa" w:w="80"/>
              <w:bottom w:type="dxa" w:w="50"/>
              <w:right w:type="dxa" w:w="80"/>
            </w:tcMar>
          </w:tcPr>
          <w:p>
            <w:pPr>
              <w:spacing w:line="240"/>
              <w:jc w:val="left"/>
            </w:pPr>
            <w:r>
              <w:rPr>
                <w:color w:val="000000"/>
                <w:sz w:val="15"/>
                <w:szCs w:val="15"/>
              </w:rPr>
              <w:t xml:space="preserve">Base del target (ritmo de venta) y de las features de demanda. Corregida por H1 y H4.</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Stock_SKU_tienda_mensual</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Alta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Sí</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Base del target (stock disponible). Corregida por H1 y H4. El stock en tránsito se usa con cautela (H6).</w:t>
            </w:r>
          </w:p>
        </w:tc>
      </w:tr>
      <w:tr>
        <w:tc>
          <w:tcPr>
            <w:tcW w:type="dxa" w:w="2600"/>
            <w:tcMar>
              <w:top w:type="dxa" w:w="50"/>
              <w:left w:type="dxa" w:w="80"/>
              <w:bottom w:type="dxa" w:w="50"/>
              <w:right w:type="dxa" w:w="80"/>
            </w:tcMar>
          </w:tcPr>
          <w:p>
            <w:pPr>
              <w:spacing w:line="240"/>
              <w:jc w:val="left"/>
            </w:pPr>
            <w:r>
              <w:rPr>
                <w:color w:val="000000"/>
                <w:sz w:val="15"/>
                <w:szCs w:val="15"/>
              </w:rPr>
              <w:t xml:space="preserve">Productos_catalogo</w:t>
            </w:r>
          </w:p>
        </w:tc>
        <w:tc>
          <w:tcPr>
            <w:tcW w:type="dxa" w:w="1000"/>
            <w:tcMar>
              <w:top w:type="dxa" w:w="50"/>
              <w:left w:type="dxa" w:w="80"/>
              <w:bottom w:type="dxa" w:w="50"/>
              <w:right w:type="dxa" w:w="80"/>
            </w:tcMar>
          </w:tcPr>
          <w:p>
            <w:pPr>
              <w:spacing w:line="240"/>
              <w:jc w:val="left"/>
            </w:pPr>
            <w:r>
              <w:rPr>
                <w:color w:val="000000"/>
                <w:sz w:val="15"/>
                <w:szCs w:val="15"/>
              </w:rPr>
              <w:t xml:space="preserve">Alta</w:t>
            </w:r>
          </w:p>
        </w:tc>
        <w:tc>
          <w:tcPr>
            <w:tcW w:type="dxa" w:w="800"/>
            <w:tcMar>
              <w:top w:type="dxa" w:w="50"/>
              <w:left w:type="dxa" w:w="80"/>
              <w:bottom w:type="dxa" w:w="50"/>
              <w:right w:type="dxa" w:w="80"/>
            </w:tcMar>
          </w:tcPr>
          <w:p>
            <w:pPr>
              <w:spacing w:line="240"/>
              <w:jc w:val="left"/>
            </w:pPr>
            <w:r>
              <w:rPr>
                <w:color w:val="000000"/>
                <w:sz w:val="15"/>
                <w:szCs w:val="15"/>
              </w:rPr>
              <w:t xml:space="preserve">Sí</w:t>
            </w:r>
          </w:p>
        </w:tc>
        <w:tc>
          <w:tcPr>
            <w:tcW w:type="dxa" w:w="4600"/>
            <w:tcMar>
              <w:top w:type="dxa" w:w="50"/>
              <w:left w:type="dxa" w:w="80"/>
              <w:bottom w:type="dxa" w:w="50"/>
              <w:right w:type="dxa" w:w="80"/>
            </w:tcMar>
          </w:tcPr>
          <w:p>
            <w:pPr>
              <w:spacing w:line="240"/>
              <w:jc w:val="left"/>
            </w:pPr>
            <w:r>
              <w:rPr>
                <w:color w:val="000000"/>
                <w:sz w:val="15"/>
                <w:szCs w:val="15"/>
              </w:rPr>
              <w:t xml:space="preserve">Categoría, precio, costo y estado. Define los discontinuados que salen del universo. Congelado desde jun-2025 (H12).</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Ordenes_Compra</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Alta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Sí</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El EDA ubica el problema en la compra, no en la tienda: las OC recibidas y pendientes anticipan el sobrestock. Accionable por Compras.</w:t>
            </w:r>
          </w:p>
        </w:tc>
      </w:tr>
      <w:tr>
        <w:tc>
          <w:tcPr>
            <w:tcW w:type="dxa" w:w="2600"/>
            <w:tcMar>
              <w:top w:type="dxa" w:w="50"/>
              <w:left w:type="dxa" w:w="80"/>
              <w:bottom w:type="dxa" w:w="50"/>
              <w:right w:type="dxa" w:w="80"/>
            </w:tcMar>
          </w:tcPr>
          <w:p>
            <w:pPr>
              <w:spacing w:line="240"/>
              <w:jc w:val="left"/>
            </w:pPr>
            <w:r>
              <w:rPr>
                <w:color w:val="000000"/>
                <w:sz w:val="15"/>
                <w:szCs w:val="15"/>
              </w:rPr>
              <w:t xml:space="preserve">Stock_Deposito_Central</w:t>
            </w:r>
          </w:p>
        </w:tc>
        <w:tc>
          <w:tcPr>
            <w:tcW w:type="dxa" w:w="1000"/>
            <w:tcMar>
              <w:top w:type="dxa" w:w="50"/>
              <w:left w:type="dxa" w:w="80"/>
              <w:bottom w:type="dxa" w:w="50"/>
              <w:right w:type="dxa" w:w="80"/>
            </w:tcMar>
          </w:tcPr>
          <w:p>
            <w:pPr>
              <w:spacing w:line="240"/>
              <w:jc w:val="left"/>
            </w:pPr>
            <w:r>
              <w:rPr>
                <w:color w:val="000000"/>
                <w:sz w:val="15"/>
                <w:szCs w:val="15"/>
              </w:rPr>
              <w:t xml:space="preserve">Media</w:t>
            </w:r>
          </w:p>
        </w:tc>
        <w:tc>
          <w:tcPr>
            <w:tcW w:type="dxa" w:w="800"/>
            <w:tcMar>
              <w:top w:type="dxa" w:w="50"/>
              <w:left w:type="dxa" w:w="80"/>
              <w:bottom w:type="dxa" w:w="50"/>
              <w:right w:type="dxa" w:w="80"/>
            </w:tcMar>
          </w:tcPr>
          <w:p>
            <w:pPr>
              <w:spacing w:line="240"/>
              <w:jc w:val="left"/>
            </w:pPr>
            <w:r>
              <w:rPr>
                <w:color w:val="000000"/>
                <w:sz w:val="15"/>
                <w:szCs w:val="15"/>
              </w:rPr>
              <w:t xml:space="preserve">Sí</w:t>
            </w:r>
          </w:p>
        </w:tc>
        <w:tc>
          <w:tcPr>
            <w:tcW w:type="dxa" w:w="4600"/>
            <w:tcMar>
              <w:top w:type="dxa" w:w="50"/>
              <w:left w:type="dxa" w:w="80"/>
              <w:bottom w:type="dxa" w:w="50"/>
              <w:right w:type="dxa" w:w="80"/>
            </w:tcMar>
          </w:tcPr>
          <w:p>
            <w:pPr>
              <w:spacing w:line="240"/>
              <w:jc w:val="left"/>
            </w:pPr>
            <w:r>
              <w:rPr>
                <w:color w:val="000000"/>
                <w:sz w:val="15"/>
                <w:szCs w:val="15"/>
              </w:rPr>
              <w:t xml:space="preserve">Stock disponible para reponer; cubre 2026 sin problemas de calidad.</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Transferencias_Stock</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Media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Sí</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Movimientos entre tiendas y depósito; palanca de acción de la banda roja.</w:t>
            </w:r>
          </w:p>
        </w:tc>
      </w:tr>
      <w:tr>
        <w:tc>
          <w:tcPr>
            <w:tcW w:type="dxa" w:w="2600"/>
            <w:tcMar>
              <w:top w:type="dxa" w:w="50"/>
              <w:left w:type="dxa" w:w="80"/>
              <w:bottom w:type="dxa" w:w="50"/>
              <w:right w:type="dxa" w:w="80"/>
            </w:tcMar>
          </w:tcPr>
          <w:p>
            <w:pPr>
              <w:spacing w:line="240"/>
              <w:jc w:val="left"/>
            </w:pPr>
            <w:r>
              <w:rPr>
                <w:color w:val="000000"/>
                <w:sz w:val="15"/>
                <w:szCs w:val="15"/>
              </w:rPr>
              <w:t xml:space="preserve">Liquidaciones</w:t>
            </w:r>
          </w:p>
        </w:tc>
        <w:tc>
          <w:tcPr>
            <w:tcW w:type="dxa" w:w="1000"/>
            <w:tcMar>
              <w:top w:type="dxa" w:w="50"/>
              <w:left w:type="dxa" w:w="80"/>
              <w:bottom w:type="dxa" w:w="50"/>
              <w:right w:type="dxa" w:w="80"/>
            </w:tcMar>
          </w:tcPr>
          <w:p>
            <w:pPr>
              <w:spacing w:line="240"/>
              <w:jc w:val="left"/>
            </w:pPr>
            <w:r>
              <w:rPr>
                <w:color w:val="000000"/>
                <w:sz w:val="15"/>
                <w:szCs w:val="15"/>
              </w:rPr>
              <w:t xml:space="preserve">Media</w:t>
            </w:r>
          </w:p>
        </w:tc>
        <w:tc>
          <w:tcPr>
            <w:tcW w:type="dxa" w:w="800"/>
            <w:tcMar>
              <w:top w:type="dxa" w:w="50"/>
              <w:left w:type="dxa" w:w="80"/>
              <w:bottom w:type="dxa" w:w="50"/>
              <w:right w:type="dxa" w:w="80"/>
            </w:tcMar>
          </w:tcPr>
          <w:p>
            <w:pPr>
              <w:spacing w:line="240"/>
              <w:jc w:val="left"/>
            </w:pPr>
            <w:r>
              <w:rPr>
                <w:color w:val="000000"/>
                <w:sz w:val="15"/>
                <w:szCs w:val="15"/>
              </w:rPr>
              <w:t xml:space="preserve">Sí</w:t>
            </w:r>
          </w:p>
        </w:tc>
        <w:tc>
          <w:tcPr>
            <w:tcW w:type="dxa" w:w="4600"/>
            <w:tcMar>
              <w:top w:type="dxa" w:w="50"/>
              <w:left w:type="dxa" w:w="80"/>
              <w:bottom w:type="dxa" w:w="50"/>
              <w:right w:type="dxa" w:w="80"/>
            </w:tcMar>
          </w:tcPr>
          <w:p>
            <w:pPr>
              <w:spacing w:line="240"/>
              <w:jc w:val="left"/>
            </w:pPr>
            <w:r>
              <w:rPr>
                <w:color w:val="000000"/>
                <w:sz w:val="15"/>
                <w:szCs w:val="15"/>
              </w:rPr>
              <w:t xml:space="preserve">Acción comercial ya tomada. Riesgo de sesgo: refleja decisiones pasadas, no demanda (H7).</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Promociones_Comerciales</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Media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Sí</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Contexto comercial por categoría. Se excluyen las promociones duplicadas, con fechas invertidas o con descuento fuera de rango (H9, H10).</w:t>
            </w:r>
          </w:p>
        </w:tc>
      </w:tr>
      <w:tr>
        <w:tc>
          <w:tcPr>
            <w:tcW w:type="dxa" w:w="2600"/>
            <w:tcMar>
              <w:top w:type="dxa" w:w="50"/>
              <w:left w:type="dxa" w:w="80"/>
              <w:bottom w:type="dxa" w:w="50"/>
              <w:right w:type="dxa" w:w="80"/>
            </w:tcMar>
          </w:tcPr>
          <w:p>
            <w:pPr>
              <w:spacing w:line="240"/>
              <w:jc w:val="left"/>
            </w:pPr>
            <w:r>
              <w:rPr>
                <w:color w:val="000000"/>
                <w:sz w:val="15"/>
                <w:szCs w:val="15"/>
              </w:rPr>
              <w:t xml:space="preserve">Proveedores</w:t>
            </w:r>
          </w:p>
        </w:tc>
        <w:tc>
          <w:tcPr>
            <w:tcW w:type="dxa" w:w="1000"/>
            <w:tcMar>
              <w:top w:type="dxa" w:w="50"/>
              <w:left w:type="dxa" w:w="80"/>
              <w:bottom w:type="dxa" w:w="50"/>
              <w:right w:type="dxa" w:w="80"/>
            </w:tcMar>
          </w:tcPr>
          <w:p>
            <w:pPr>
              <w:spacing w:line="240"/>
              <w:jc w:val="left"/>
            </w:pPr>
            <w:r>
              <w:rPr>
                <w:color w:val="000000"/>
                <w:sz w:val="15"/>
                <w:szCs w:val="15"/>
              </w:rPr>
              <w:t xml:space="preserve">Media</w:t>
            </w:r>
          </w:p>
        </w:tc>
        <w:tc>
          <w:tcPr>
            <w:tcW w:type="dxa" w:w="800"/>
            <w:tcMar>
              <w:top w:type="dxa" w:w="50"/>
              <w:left w:type="dxa" w:w="80"/>
              <w:bottom w:type="dxa" w:w="50"/>
              <w:right w:type="dxa" w:w="80"/>
            </w:tcMar>
          </w:tcPr>
          <w:p>
            <w:pPr>
              <w:spacing w:line="240"/>
              <w:jc w:val="left"/>
            </w:pPr>
            <w:r>
              <w:rPr>
                <w:color w:val="000000"/>
                <w:sz w:val="15"/>
                <w:szCs w:val="15"/>
              </w:rPr>
              <w:t xml:space="preserve">Sí</w:t>
            </w:r>
          </w:p>
        </w:tc>
        <w:tc>
          <w:tcPr>
            <w:tcW w:type="dxa" w:w="4600"/>
            <w:tcMar>
              <w:top w:type="dxa" w:w="50"/>
              <w:left w:type="dxa" w:w="80"/>
              <w:bottom w:type="dxa" w:w="50"/>
              <w:right w:type="dxa" w:w="80"/>
            </w:tcMar>
          </w:tcPr>
          <w:p>
            <w:pPr>
              <w:spacing w:line="240"/>
              <w:jc w:val="left"/>
            </w:pPr>
            <w:r>
              <w:rPr>
                <w:color w:val="000000"/>
                <w:sz w:val="15"/>
                <w:szCs w:val="15"/>
              </w:rPr>
              <w:t xml:space="preserve">Lead time y pedido mínimo, más el proveedor como categórica: el EDA ubica el problema en la compra y Compras puede actuar por proveedor.</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Tiendas</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Baja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Sí</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Región, formato y m² como segmentación, no accionables. Se descarta la antigüedad por H3.</w:t>
            </w:r>
          </w:p>
        </w:tc>
      </w:tr>
      <w:tr>
        <w:tc>
          <w:tcPr>
            <w:tcW w:type="dxa" w:w="2600"/>
            <w:tcMar>
              <w:top w:type="dxa" w:w="50"/>
              <w:left w:type="dxa" w:w="80"/>
              <w:bottom w:type="dxa" w:w="50"/>
              <w:right w:type="dxa" w:w="80"/>
            </w:tcMar>
          </w:tcPr>
          <w:p>
            <w:pPr>
              <w:spacing w:line="240"/>
              <w:jc w:val="left"/>
            </w:pPr>
            <w:r>
              <w:rPr>
                <w:color w:val="000000"/>
                <w:sz w:val="15"/>
                <w:szCs w:val="15"/>
              </w:rPr>
              <w:t xml:space="preserve">Calendario</w:t>
            </w:r>
          </w:p>
        </w:tc>
        <w:tc>
          <w:tcPr>
            <w:tcW w:type="dxa" w:w="1000"/>
            <w:tcMar>
              <w:top w:type="dxa" w:w="50"/>
              <w:left w:type="dxa" w:w="80"/>
              <w:bottom w:type="dxa" w:w="50"/>
              <w:right w:type="dxa" w:w="80"/>
            </w:tcMar>
          </w:tcPr>
          <w:p>
            <w:pPr>
              <w:spacing w:line="240"/>
              <w:jc w:val="left"/>
            </w:pPr>
            <w:r>
              <w:rPr>
                <w:color w:val="000000"/>
                <w:sz w:val="15"/>
                <w:szCs w:val="15"/>
              </w:rPr>
              <w:t xml:space="preserve">Media</w:t>
            </w:r>
          </w:p>
        </w:tc>
        <w:tc>
          <w:tcPr>
            <w:tcW w:type="dxa" w:w="800"/>
            <w:tcMar>
              <w:top w:type="dxa" w:w="50"/>
              <w:left w:type="dxa" w:w="80"/>
              <w:bottom w:type="dxa" w:w="50"/>
              <w:right w:type="dxa" w:w="80"/>
            </w:tcMar>
          </w:tcPr>
          <w:p>
            <w:pPr>
              <w:spacing w:line="240"/>
              <w:jc w:val="left"/>
            </w:pPr>
            <w:r>
              <w:rPr>
                <w:color w:val="000000"/>
                <w:sz w:val="15"/>
                <w:szCs w:val="15"/>
              </w:rPr>
              <w:t xml:space="preserve">No</w:t>
            </w:r>
          </w:p>
        </w:tc>
        <w:tc>
          <w:tcPr>
            <w:tcW w:type="dxa" w:w="4600"/>
            <w:tcMar>
              <w:top w:type="dxa" w:w="50"/>
              <w:left w:type="dxa" w:w="80"/>
              <w:bottom w:type="dxa" w:w="50"/>
              <w:right w:type="dxa" w:w="80"/>
            </w:tcMar>
          </w:tcPr>
          <w:p>
            <w:pPr>
              <w:spacing w:line="240"/>
              <w:jc w:val="left"/>
            </w:pPr>
            <w:r>
              <w:rPr>
                <w:color w:val="000000"/>
                <w:sz w:val="15"/>
                <w:szCs w:val="15"/>
              </w:rPr>
              <w:t xml:space="preserve">No cubre 2026 (H12). Los eventos que marca (Hot Sale en junio, Black Friday en noviembre, Navidad en diciembre) son fijos: se derivan de la fecha para mirar el horizonte sin depender del archivo.</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Historial_Precios_SKU</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Media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No</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Es una reconstrucción retroactiva, no un registro (P9-P10); no concuerda con Ventas (H8).</w:t>
            </w:r>
          </w:p>
        </w:tc>
      </w:tr>
      <w:tr>
        <w:tc>
          <w:tcPr>
            <w:tcW w:type="dxa" w:w="2600"/>
            <w:tcMar>
              <w:top w:type="dxa" w:w="50"/>
              <w:left w:type="dxa" w:w="80"/>
              <w:bottom w:type="dxa" w:w="50"/>
              <w:right w:type="dxa" w:w="80"/>
            </w:tcMar>
          </w:tcPr>
          <w:p>
            <w:pPr>
              <w:spacing w:line="240"/>
              <w:jc w:val="left"/>
            </w:pPr>
            <w:r>
              <w:rPr>
                <w:color w:val="000000"/>
                <w:sz w:val="15"/>
                <w:szCs w:val="15"/>
              </w:rPr>
              <w:t xml:space="preserve">Devoluciones_SKU</w:t>
            </w:r>
          </w:p>
        </w:tc>
        <w:tc>
          <w:tcPr>
            <w:tcW w:type="dxa" w:w="1000"/>
            <w:tcMar>
              <w:top w:type="dxa" w:w="50"/>
              <w:left w:type="dxa" w:w="80"/>
              <w:bottom w:type="dxa" w:w="50"/>
              <w:right w:type="dxa" w:w="80"/>
            </w:tcMar>
          </w:tcPr>
          <w:p>
            <w:pPr>
              <w:spacing w:line="240"/>
              <w:jc w:val="left"/>
            </w:pPr>
            <w:r>
              <w:rPr>
                <w:color w:val="000000"/>
                <w:sz w:val="15"/>
                <w:szCs w:val="15"/>
              </w:rPr>
              <w:t xml:space="preserve">Baja</w:t>
            </w:r>
          </w:p>
        </w:tc>
        <w:tc>
          <w:tcPr>
            <w:tcW w:type="dxa" w:w="800"/>
            <w:tcMar>
              <w:top w:type="dxa" w:w="50"/>
              <w:left w:type="dxa" w:w="80"/>
              <w:bottom w:type="dxa" w:w="50"/>
              <w:right w:type="dxa" w:w="80"/>
            </w:tcMar>
          </w:tcPr>
          <w:p>
            <w:pPr>
              <w:spacing w:line="240"/>
              <w:jc w:val="left"/>
            </w:pPr>
            <w:r>
              <w:rPr>
                <w:color w:val="000000"/>
                <w:sz w:val="15"/>
                <w:szCs w:val="15"/>
              </w:rPr>
              <w:t xml:space="preserve">No</w:t>
            </w:r>
          </w:p>
        </w:tc>
        <w:tc>
          <w:tcPr>
            <w:tcW w:type="dxa" w:w="4600"/>
            <w:tcMar>
              <w:top w:type="dxa" w:w="50"/>
              <w:left w:type="dxa" w:w="80"/>
              <w:bottom w:type="dxa" w:w="50"/>
              <w:right w:type="dxa" w:w="80"/>
            </w:tcMar>
          </w:tcPr>
          <w:p>
            <w:pPr>
              <w:spacing w:line="240"/>
              <w:jc w:val="left"/>
            </w:pPr>
            <w:r>
              <w:rPr>
                <w:color w:val="000000"/>
                <w:sz w:val="15"/>
                <w:szCs w:val="15"/>
              </w:rPr>
              <w:t xml:space="preserve">Ya está neteada en Ventas; no cubre 2026 (H12) y generaría una feature que se apaga en el test.</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Presupuesto_Ventas_Tienda_Categoria</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Baja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Parcial</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Solo el cumplimiento de los últimos 3 meses de la tienda-categoría, sin celdas inválidas (H9). El presupuesto futuro se descarta por riesgo de leakage (ver abajo).</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Costo_almacenamiento</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Baja</w:t>
            </w:r>
          </w:p>
        </w:tc>
        <w:tc>
          <w:tcPr>
            <w:tcW w:type="dxa" w:w="800"/>
            <w:shd w:fill="F2F2F2" w:color="auto" w:val="clear"/>
            <w:tcMar>
              <w:top w:type="dxa" w:w="50"/>
              <w:left w:type="dxa" w:w="80"/>
              <w:bottom w:type="dxa" w:w="50"/>
              <w:right w:type="dxa" w:w="80"/>
            </w:tcMar>
          </w:tcPr>
          <w:p>
            <w:pPr>
              <w:spacing w:line="240"/>
              <w:jc w:val="left"/>
            </w:pPr>
            <w:r>
              <w:rPr>
                <w:color w:val="000000"/>
                <w:sz w:val="15"/>
                <w:szCs w:val="15"/>
              </w:rPr>
              <w:t xml:space="preserve">No</w:t>
            </w:r>
          </w:p>
        </w:tc>
        <w:tc>
          <w:tcPr>
            <w:tcW w:type="dxa" w:w="4600"/>
            <w:shd w:fill="F2F2F2" w:color="auto" w:val="clear"/>
            <w:tcMar>
              <w:top w:type="dxa" w:w="50"/>
              <w:left w:type="dxa" w:w="80"/>
              <w:bottom w:type="dxa" w:w="50"/>
              <w:right w:type="dxa" w:w="80"/>
            </w:tcMar>
          </w:tcPr>
          <w:p>
            <w:pPr>
              <w:spacing w:line="240"/>
              <w:jc w:val="left"/>
            </w:pPr>
            <w:r>
              <w:rPr>
                <w:color w:val="000000"/>
                <w:sz w:val="15"/>
                <w:szCs w:val="15"/>
              </w:rPr>
              <w:t xml:space="preserve">Constante por categoría: redundante con la categoría. Se usa para valuar el costo de mantener stock, no como feature.</w:t>
            </w:r>
          </w:p>
        </w:tc>
      </w:tr>
    </w:tbl>
    <w:p>
      <w:pPr>
        <w:spacing w:after="110" w:line="276" w:before="160"/>
        <w:jc w:val="both"/>
      </w:pPr>
      <w:r>
        <w:rPr>
          <w:b/>
          <w:bCs/>
          <w:sz w:val="21"/>
          <w:szCs w:val="21"/>
        </w:rPr>
        <w:t xml:space="preserve">Riesgos de sesgo. </w:t>
      </w:r>
      <w:r>
        <w:rPr>
          <w:sz w:val="21"/>
          <w:szCs w:val="21"/>
        </w:rPr>
        <w:t xml:space="preserve">El historial refleja decisiones pasadas de Casa Óga. Las liquidaciones y transferencias se hicieron caso por caso y sin protocolo: el modelo puede aprender que una posición liquidada deja de ser riesgo porque alguien ya actuó, no porque la demanda se recuperó. Además, el stock de algunas posiciones tiene errores de sincronización (H4, H5) que distorsionan su rotación. Se mitiga con la partición temporal y revisando la importancia de las variables de acción comercial antes de usar el modelo.</w:t>
      </w:r>
    </w:p>
    <w:p>
      <w:pPr>
        <w:spacing w:after="70" w:before="180"/>
      </w:pPr>
      <w:r>
        <w:rPr>
          <w:b/>
          <w:bCs/>
          <w:sz w:val="21"/>
          <w:szCs w:val="21"/>
        </w:rPr>
        <w:t xml:space="preserve">Variables excluidas</w:t>
      </w:r>
    </w:p>
    <w:p>
      <w:pPr>
        <w:spacing w:after="110" w:line="276"/>
        <w:jc w:val="both"/>
      </w:pPr>
      <w:r>
        <w:rPr>
          <w:sz w:val="21"/>
          <w:szCs w:val="21"/>
        </w:rPr>
        <w:t xml:space="preserve">Toda variable candidata que no entró al dataset tiene un motivo explícito. La regla central: al predecir en el mes t solo se puede usar lo que Casa Óga conoce al cierre de t.</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800"/>
        <w:gridCol w:w="4600"/>
      </w:tblGrid>
      <w:tr>
        <w:trPr>
          <w:tblHeader/>
        </w:trPr>
        <w:tc>
          <w:tcPr>
            <w:tcW w:type="dxa" w:w="2600"/>
            <w:shd w:fill="1F3864" w:color="auto" w:val="clear"/>
            <w:tcMar>
              <w:top w:type="dxa" w:w="50"/>
              <w:left w:type="dxa" w:w="80"/>
              <w:bottom w:type="dxa" w:w="50"/>
              <w:right w:type="dxa" w:w="80"/>
            </w:tcMar>
          </w:tcPr>
          <w:p>
            <w:pPr>
              <w:spacing w:line="240"/>
              <w:jc w:val="left"/>
            </w:pPr>
            <w:r>
              <w:rPr>
                <w:b/>
                <w:bCs/>
                <w:color w:val="FFFFFF"/>
                <w:sz w:val="15"/>
                <w:szCs w:val="15"/>
              </w:rPr>
              <w:t xml:space="preserve">Variable o fuente</w:t>
            </w:r>
          </w:p>
        </w:tc>
        <w:tc>
          <w:tcPr>
            <w:tcW w:type="dxa" w:w="1000"/>
            <w:shd w:fill="1F3864" w:color="auto" w:val="clear"/>
            <w:tcMar>
              <w:top w:type="dxa" w:w="50"/>
              <w:left w:type="dxa" w:w="80"/>
              <w:bottom w:type="dxa" w:w="50"/>
              <w:right w:type="dxa" w:w="80"/>
            </w:tcMar>
          </w:tcPr>
          <w:p>
            <w:pPr>
              <w:spacing w:line="240"/>
              <w:jc w:val="left"/>
            </w:pPr>
            <w:r>
              <w:rPr>
                <w:b/>
                <w:bCs/>
                <w:color w:val="FFFFFF"/>
                <w:sz w:val="15"/>
                <w:szCs w:val="15"/>
              </w:rPr>
              <w:t xml:space="preserve">Motivo</w:t>
            </w:r>
          </w:p>
        </w:tc>
        <w:tc>
          <w:tcPr>
            <w:tcW w:type="dxa" w:w="5400"/>
            <w:gridSpan w:val="2"/>
            <w:shd w:fill="1F3864" w:color="auto" w:val="clear"/>
            <w:tcMar>
              <w:top w:type="dxa" w:w="50"/>
              <w:left w:type="dxa" w:w="80"/>
              <w:bottom w:type="dxa" w:w="50"/>
              <w:right w:type="dxa" w:w="80"/>
            </w:tcMar>
          </w:tcPr>
          <w:p>
            <w:pPr>
              <w:spacing w:line="240"/>
              <w:jc w:val="left"/>
            </w:pPr>
            <w:r>
              <w:rPr>
                <w:b/>
                <w:bCs/>
                <w:color w:val="FFFFFF"/>
                <w:sz w:val="15"/>
                <w:szCs w:val="15"/>
              </w:rPr>
              <w:t xml:space="preserve">Detalle</w:t>
            </w:r>
          </w:p>
        </w:tc>
      </w:tr>
      <w:tr>
        <w:tc>
          <w:tcPr>
            <w:tcW w:type="dxa" w:w="2600"/>
            <w:tcMar>
              <w:top w:type="dxa" w:w="50"/>
              <w:left w:type="dxa" w:w="80"/>
              <w:bottom w:type="dxa" w:w="50"/>
              <w:right w:type="dxa" w:w="80"/>
            </w:tcMar>
          </w:tcPr>
          <w:p>
            <w:pPr>
              <w:spacing w:line="240"/>
              <w:jc w:val="left"/>
            </w:pPr>
            <w:r>
              <w:rPr>
                <w:color w:val="000000"/>
                <w:sz w:val="15"/>
                <w:szCs w:val="15"/>
              </w:rPr>
              <w:t xml:space="preserve">Ventas y stock de t+1 a t+3</w:t>
            </w:r>
          </w:p>
        </w:tc>
        <w:tc>
          <w:tcPr>
            <w:tcW w:type="dxa" w:w="1000"/>
            <w:tcMar>
              <w:top w:type="dxa" w:w="50"/>
              <w:left w:type="dxa" w:w="80"/>
              <w:bottom w:type="dxa" w:w="50"/>
              <w:right w:type="dxa" w:w="80"/>
            </w:tcMar>
          </w:tcPr>
          <w:p>
            <w:pPr>
              <w:spacing w:line="240"/>
              <w:jc w:val="left"/>
            </w:pPr>
            <w:r>
              <w:rPr>
                <w:color w:val="000000"/>
                <w:sz w:val="15"/>
                <w:szCs w:val="15"/>
              </w:rPr>
              <w:t xml:space="preserve">Leakage</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Son los datos con los que se construye el target.</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Liquidaciones, transferencias y OC posteriores a t</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Leakage</w:t>
            </w:r>
          </w:p>
        </w:tc>
        <w:tc>
          <w:tcPr>
            <w:tcW w:type="dxa" w:w="5400"/>
            <w:gridSpan w:val="2"/>
            <w:shd w:fill="F2F2F2" w:color="auto" w:val="clear"/>
            <w:tcMar>
              <w:top w:type="dxa" w:w="50"/>
              <w:left w:type="dxa" w:w="80"/>
              <w:bottom w:type="dxa" w:w="50"/>
              <w:right w:type="dxa" w:w="80"/>
            </w:tcMar>
          </w:tcPr>
          <w:p>
            <w:pPr>
              <w:spacing w:line="240"/>
              <w:jc w:val="left"/>
            </w:pPr>
            <w:r>
              <w:rPr>
                <w:color w:val="000000"/>
                <w:sz w:val="15"/>
                <w:szCs w:val="15"/>
              </w:rPr>
              <w:t xml:space="preserve">Son reacciones al sobrestock que el modelo tiene que anticipar. Solo se usan las ocurridas hasta t y las OC ya pedidas y pendientes.</w:t>
            </w:r>
          </w:p>
        </w:tc>
      </w:tr>
      <w:tr>
        <w:tc>
          <w:tcPr>
            <w:tcW w:type="dxa" w:w="2600"/>
            <w:tcMar>
              <w:top w:type="dxa" w:w="50"/>
              <w:left w:type="dxa" w:w="80"/>
              <w:bottom w:type="dxa" w:w="50"/>
              <w:right w:type="dxa" w:w="80"/>
            </w:tcMar>
          </w:tcPr>
          <w:p>
            <w:pPr>
              <w:spacing w:line="240"/>
              <w:jc w:val="left"/>
            </w:pPr>
            <w:r>
              <w:rPr>
                <w:color w:val="000000"/>
                <w:sz w:val="15"/>
                <w:szCs w:val="15"/>
              </w:rPr>
              <w:t xml:space="preserve">Estado del catálogo (Activo / Discontinuado)</w:t>
            </w:r>
          </w:p>
        </w:tc>
        <w:tc>
          <w:tcPr>
            <w:tcW w:type="dxa" w:w="1000"/>
            <w:tcMar>
              <w:top w:type="dxa" w:w="50"/>
              <w:left w:type="dxa" w:w="80"/>
              <w:bottom w:type="dxa" w:w="50"/>
              <w:right w:type="dxa" w:w="80"/>
            </w:tcMar>
          </w:tcPr>
          <w:p>
            <w:pPr>
              <w:spacing w:line="240"/>
              <w:jc w:val="left"/>
            </w:pPr>
            <w:r>
              <w:rPr>
                <w:color w:val="000000"/>
                <w:sz w:val="15"/>
                <w:szCs w:val="15"/>
              </w:rPr>
              <w:t xml:space="preserve">Leakage</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Es una foto del catálogo actual: aplicada a meses pasados revela qué productos se discontinuaron después. Solo se usa una fecha de baja anterior o igual a t.</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Presupuesto de t+1 a t+3</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Leakage</w:t>
            </w:r>
          </w:p>
        </w:tc>
        <w:tc>
          <w:tcPr>
            <w:tcW w:type="dxa" w:w="5400"/>
            <w:gridSpan w:val="2"/>
            <w:shd w:fill="F2F2F2" w:color="auto" w:val="clear"/>
            <w:tcMar>
              <w:top w:type="dxa" w:w="50"/>
              <w:left w:type="dxa" w:w="80"/>
              <w:bottom w:type="dxa" w:w="50"/>
              <w:right w:type="dxa" w:w="80"/>
            </w:tcMar>
          </w:tcPr>
          <w:p>
            <w:pPr>
              <w:spacing w:line="240"/>
              <w:jc w:val="left"/>
            </w:pPr>
            <w:r>
              <w:rPr>
                <w:color w:val="000000"/>
                <w:sz w:val="15"/>
                <w:szCs w:val="15"/>
              </w:rPr>
              <w:t xml:space="preserve">Se actualiza mes a mes con la venta real (P31), por lo que puede contener lo que se quiere predecir.</w:t>
            </w:r>
          </w:p>
        </w:tc>
      </w:tr>
      <w:tr>
        <w:tc>
          <w:tcPr>
            <w:tcW w:type="dxa" w:w="2600"/>
            <w:tcMar>
              <w:top w:type="dxa" w:w="50"/>
              <w:left w:type="dxa" w:w="80"/>
              <w:bottom w:type="dxa" w:w="50"/>
              <w:right w:type="dxa" w:w="80"/>
            </w:tcMar>
          </w:tcPr>
          <w:p>
            <w:pPr>
              <w:spacing w:line="240"/>
              <w:jc w:val="left"/>
            </w:pPr>
            <w:r>
              <w:rPr>
                <w:color w:val="000000"/>
                <w:sz w:val="15"/>
                <w:szCs w:val="15"/>
              </w:rPr>
              <w:t xml:space="preserve">Promociones que empiezan después de t</w:t>
            </w:r>
          </w:p>
        </w:tc>
        <w:tc>
          <w:tcPr>
            <w:tcW w:type="dxa" w:w="1000"/>
            <w:tcMar>
              <w:top w:type="dxa" w:w="50"/>
              <w:left w:type="dxa" w:w="80"/>
              <w:bottom w:type="dxa" w:w="50"/>
              <w:right w:type="dxa" w:w="80"/>
            </w:tcMar>
          </w:tcPr>
          <w:p>
            <w:pPr>
              <w:spacing w:line="240"/>
              <w:jc w:val="left"/>
            </w:pPr>
            <w:r>
              <w:rPr>
                <w:color w:val="000000"/>
                <w:sz w:val="15"/>
                <w:szCs w:val="15"/>
              </w:rPr>
              <w:t xml:space="preserve">Leakage</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No hay evidencia de que se planifiquen con 3 meses de anticipación. Sí se usan los eventos de calendario fijos.</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Antigüedad de la tienda</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Calidad</w:t>
            </w:r>
          </w:p>
        </w:tc>
        <w:tc>
          <w:tcPr>
            <w:tcW w:type="dxa" w:w="5400"/>
            <w:gridSpan w:val="2"/>
            <w:shd w:fill="F2F2F2" w:color="auto" w:val="clear"/>
            <w:tcMar>
              <w:top w:type="dxa" w:w="50"/>
              <w:left w:type="dxa" w:w="80"/>
              <w:bottom w:type="dxa" w:w="50"/>
              <w:right w:type="dxa" w:w="80"/>
            </w:tcMar>
          </w:tcPr>
          <w:p>
            <w:pPr>
              <w:spacing w:line="240"/>
              <w:jc w:val="left"/>
            </w:pPr>
            <w:r>
              <w:rPr>
                <w:color w:val="000000"/>
                <w:sz w:val="15"/>
                <w:szCs w:val="15"/>
              </w:rPr>
              <w:t xml:space="preserve">Seis tiendas venden antes de su fecha de apertura (H3). Se usa la antigüedad de la posición, que sale de los datos.</w:t>
            </w:r>
          </w:p>
        </w:tc>
      </w:tr>
      <w:tr>
        <w:tc>
          <w:tcPr>
            <w:tcW w:type="dxa" w:w="2600"/>
            <w:tcMar>
              <w:top w:type="dxa" w:w="50"/>
              <w:left w:type="dxa" w:w="80"/>
              <w:bottom w:type="dxa" w:w="50"/>
              <w:right w:type="dxa" w:w="80"/>
            </w:tcMar>
          </w:tcPr>
          <w:p>
            <w:pPr>
              <w:spacing w:line="240"/>
              <w:jc w:val="left"/>
            </w:pPr>
            <w:r>
              <w:rPr>
                <w:color w:val="000000"/>
                <w:sz w:val="15"/>
                <w:szCs w:val="15"/>
              </w:rPr>
              <w:t xml:space="preserve">Precio vigente según el historial</w:t>
            </w:r>
          </w:p>
        </w:tc>
        <w:tc>
          <w:tcPr>
            <w:tcW w:type="dxa" w:w="1000"/>
            <w:tcMar>
              <w:top w:type="dxa" w:w="50"/>
              <w:left w:type="dxa" w:w="80"/>
              <w:bottom w:type="dxa" w:w="50"/>
              <w:right w:type="dxa" w:w="80"/>
            </w:tcMar>
          </w:tcPr>
          <w:p>
            <w:pPr>
              <w:spacing w:line="240"/>
              <w:jc w:val="left"/>
            </w:pPr>
            <w:r>
              <w:rPr>
                <w:color w:val="000000"/>
                <w:sz w:val="15"/>
                <w:szCs w:val="15"/>
              </w:rPr>
              <w:t xml:space="preserve">Calidad</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El historial es una reconstrucción retroactiva y no concuerda con las ventas (H8).</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Devoluciones por motivo o tasa de devolución</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Calidad</w:t>
            </w:r>
          </w:p>
        </w:tc>
        <w:tc>
          <w:tcPr>
            <w:tcW w:type="dxa" w:w="5400"/>
            <w:gridSpan w:val="2"/>
            <w:shd w:fill="F2F2F2" w:color="auto" w:val="clear"/>
            <w:tcMar>
              <w:top w:type="dxa" w:w="50"/>
              <w:left w:type="dxa" w:w="80"/>
              <w:bottom w:type="dxa" w:w="50"/>
              <w:right w:type="dxa" w:w="80"/>
            </w:tcMar>
          </w:tcPr>
          <w:p>
            <w:pPr>
              <w:spacing w:line="240"/>
              <w:jc w:val="left"/>
            </w:pPr>
            <w:r>
              <w:rPr>
                <w:color w:val="000000"/>
                <w:sz w:val="15"/>
                <w:szCs w:val="15"/>
              </w:rPr>
              <w:t xml:space="preserve">No hay devoluciones en 2026 (H12): la variable valdría cero en todo el test. Las devoluciones ya están neteadas en la venta.</w:t>
            </w:r>
          </w:p>
        </w:tc>
      </w:tr>
      <w:tr>
        <w:tc>
          <w:tcPr>
            <w:tcW w:type="dxa" w:w="2600"/>
            <w:tcMar>
              <w:top w:type="dxa" w:w="50"/>
              <w:left w:type="dxa" w:w="80"/>
              <w:bottom w:type="dxa" w:w="50"/>
              <w:right w:type="dxa" w:w="80"/>
            </w:tcMar>
          </w:tcPr>
          <w:p>
            <w:pPr>
              <w:spacing w:line="240"/>
              <w:jc w:val="left"/>
            </w:pPr>
            <w:r>
              <w:rPr>
                <w:color w:val="000000"/>
                <w:sz w:val="15"/>
                <w:szCs w:val="15"/>
              </w:rPr>
              <w:t xml:space="preserve">Temporada y feriados del Calendario</w:t>
            </w:r>
          </w:p>
        </w:tc>
        <w:tc>
          <w:tcPr>
            <w:tcW w:type="dxa" w:w="1000"/>
            <w:tcMar>
              <w:top w:type="dxa" w:w="50"/>
              <w:left w:type="dxa" w:w="80"/>
              <w:bottom w:type="dxa" w:w="50"/>
              <w:right w:type="dxa" w:w="80"/>
            </w:tcMar>
          </w:tcPr>
          <w:p>
            <w:pPr>
              <w:spacing w:line="240"/>
              <w:jc w:val="left"/>
            </w:pPr>
            <w:r>
              <w:rPr>
                <w:color w:val="000000"/>
                <w:sz w:val="15"/>
                <w:szCs w:val="15"/>
              </w:rPr>
              <w:t xml:space="preserve">Calidad</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No cubre 2026 (H12). Se reemplaza por mes del año y eventos fijos.</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Costo de almacenamiento</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Redundante</w:t>
            </w:r>
          </w:p>
        </w:tc>
        <w:tc>
          <w:tcPr>
            <w:tcW w:type="dxa" w:w="5400"/>
            <w:gridSpan w:val="2"/>
            <w:shd w:fill="F2F2F2" w:color="auto" w:val="clear"/>
            <w:tcMar>
              <w:top w:type="dxa" w:w="50"/>
              <w:left w:type="dxa" w:w="80"/>
              <w:bottom w:type="dxa" w:w="50"/>
              <w:right w:type="dxa" w:w="80"/>
            </w:tcMar>
          </w:tcPr>
          <w:p>
            <w:pPr>
              <w:spacing w:line="240"/>
              <w:jc w:val="left"/>
            </w:pPr>
            <w:r>
              <w:rPr>
                <w:color w:val="000000"/>
                <w:sz w:val="15"/>
                <w:szCs w:val="15"/>
              </w:rPr>
              <w:t xml:space="preserve">Es constante dentro de cada categoría: no agrega información a la categoría.</w:t>
            </w:r>
          </w:p>
        </w:tc>
      </w:tr>
      <w:tr>
        <w:tc>
          <w:tcPr>
            <w:tcW w:type="dxa" w:w="2600"/>
            <w:tcMar>
              <w:top w:type="dxa" w:w="50"/>
              <w:left w:type="dxa" w:w="80"/>
              <w:bottom w:type="dxa" w:w="50"/>
              <w:right w:type="dxa" w:w="80"/>
            </w:tcMar>
          </w:tcPr>
          <w:p>
            <w:pPr>
              <w:spacing w:line="240"/>
              <w:jc w:val="left"/>
            </w:pPr>
            <w:r>
              <w:rPr>
                <w:color w:val="000000"/>
                <w:sz w:val="15"/>
                <w:szCs w:val="15"/>
              </w:rPr>
              <w:t xml:space="preserve">Identificadores de tienda y SKU</w:t>
            </w:r>
          </w:p>
        </w:tc>
        <w:tc>
          <w:tcPr>
            <w:tcW w:type="dxa" w:w="1000"/>
            <w:tcMar>
              <w:top w:type="dxa" w:w="50"/>
              <w:left w:type="dxa" w:w="80"/>
              <w:bottom w:type="dxa" w:w="50"/>
              <w:right w:type="dxa" w:w="80"/>
            </w:tcMar>
          </w:tcPr>
          <w:p>
            <w:pPr>
              <w:spacing w:line="240"/>
              <w:jc w:val="left"/>
            </w:pPr>
            <w:r>
              <w:rPr>
                <w:color w:val="000000"/>
                <w:sz w:val="15"/>
                <w:szCs w:val="15"/>
              </w:rPr>
              <w:t xml:space="preserve">Generalización</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El modelo memorizaría posiciones y no podría puntuar SKUs nuevos.</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Marca de costo imputado</w:t>
            </w:r>
          </w:p>
        </w:tc>
        <w:tc>
          <w:tcPr>
            <w:tcW w:type="dxa" w:w="1000"/>
            <w:shd w:fill="F2F2F2" w:color="auto" w:val="clear"/>
            <w:tcMar>
              <w:top w:type="dxa" w:w="50"/>
              <w:left w:type="dxa" w:w="80"/>
              <w:bottom w:type="dxa" w:w="50"/>
              <w:right w:type="dxa" w:w="80"/>
            </w:tcMar>
          </w:tcPr>
          <w:p>
            <w:pPr>
              <w:spacing w:line="240"/>
              <w:jc w:val="left"/>
            </w:pPr>
            <w:r>
              <w:rPr>
                <w:color w:val="000000"/>
                <w:sz w:val="15"/>
                <w:szCs w:val="15"/>
              </w:rPr>
              <w:t xml:space="preserve">Generalización</w:t>
            </w:r>
          </w:p>
        </w:tc>
        <w:tc>
          <w:tcPr>
            <w:tcW w:type="dxa" w:w="5400"/>
            <w:gridSpan w:val="2"/>
            <w:shd w:fill="F2F2F2" w:color="auto" w:val="clear"/>
            <w:tcMar>
              <w:top w:type="dxa" w:w="50"/>
              <w:left w:type="dxa" w:w="80"/>
              <w:bottom w:type="dxa" w:w="50"/>
              <w:right w:type="dxa" w:w="80"/>
            </w:tcMar>
          </w:tcPr>
          <w:p>
            <w:pPr>
              <w:spacing w:line="240"/>
              <w:jc w:val="left"/>
            </w:pPr>
            <w:r>
              <w:rPr>
                <w:color w:val="000000"/>
                <w:sz w:val="15"/>
                <w:szCs w:val="15"/>
              </w:rPr>
              <w:t xml:space="preserve">Los 22 SKUs sin costo no aparecen en train: sería una columna constante. Queda como marca de control (P2).</w:t>
            </w:r>
          </w:p>
        </w:tc>
      </w:tr>
      <w:tr>
        <w:tc>
          <w:tcPr>
            <w:tcW w:type="dxa" w:w="2600"/>
            <w:tcMar>
              <w:top w:type="dxa" w:w="50"/>
              <w:left w:type="dxa" w:w="80"/>
              <w:bottom w:type="dxa" w:w="50"/>
              <w:right w:type="dxa" w:w="80"/>
            </w:tcMar>
          </w:tcPr>
          <w:p>
            <w:pPr>
              <w:spacing w:line="240"/>
              <w:jc w:val="left"/>
            </w:pPr>
            <w:r>
              <w:rPr>
                <w:color w:val="000000"/>
                <w:sz w:val="15"/>
                <w:szCs w:val="15"/>
              </w:rPr>
              <w:t xml:space="preserve">Datos de cliente o ticket</w:t>
            </w:r>
          </w:p>
        </w:tc>
        <w:tc>
          <w:tcPr>
            <w:tcW w:type="dxa" w:w="1000"/>
            <w:tcMar>
              <w:top w:type="dxa" w:w="50"/>
              <w:left w:type="dxa" w:w="80"/>
              <w:bottom w:type="dxa" w:w="50"/>
              <w:right w:type="dxa" w:w="80"/>
            </w:tcMar>
          </w:tcPr>
          <w:p>
            <w:pPr>
              <w:spacing w:line="240"/>
              <w:jc w:val="left"/>
            </w:pPr>
            <w:r>
              <w:rPr>
                <w:color w:val="000000"/>
                <w:sz w:val="15"/>
                <w:szCs w:val="15"/>
              </w:rPr>
              <w:t xml:space="preserve">No disponible</w:t>
            </w:r>
          </w:p>
        </w:tc>
        <w:tc>
          <w:tcPr>
            <w:tcW w:type="dxa" w:w="5400"/>
            <w:gridSpan w:val="2"/>
            <w:tcMar>
              <w:top w:type="dxa" w:w="50"/>
              <w:left w:type="dxa" w:w="80"/>
              <w:bottom w:type="dxa" w:w="50"/>
              <w:right w:type="dxa" w:w="80"/>
            </w:tcMar>
          </w:tcPr>
          <w:p>
            <w:pPr>
              <w:spacing w:line="240"/>
              <w:jc w:val="left"/>
            </w:pPr>
            <w:r>
              <w:rPr>
                <w:color w:val="000000"/>
                <w:sz w:val="15"/>
                <w:szCs w:val="15"/>
              </w:rPr>
              <w:t xml:space="preserve">Ninguna de las 15 fuentes los tiene.</w:t>
            </w:r>
          </w:p>
        </w:tc>
      </w:tr>
    </w:tbl>
    <w:p>
      <w:pPr>
        <w:pStyle w:val="Heading2"/>
        <w:spacing w:after="90" w:before="220"/>
      </w:pPr>
      <w:r>
        <w:rPr>
          <w:b/>
          <w:bCs/>
          <w:color w:val="C0504D"/>
          <w:sz w:val="22"/>
          <w:szCs w:val="22"/>
        </w:rPr>
        <w:t xml:space="preserve">2.2 Transformaciones Aplicadas para Modelado</w:t>
      </w:r>
    </w:p>
    <w:p>
      <w:pPr>
        <w:spacing w:after="110" w:line="276"/>
        <w:jc w:val="both"/>
      </w:pPr>
      <w:r>
        <w:rPr>
          <w:sz w:val="21"/>
          <w:szCs w:val="21"/>
        </w:rPr>
        <w:t xml:space="preserve">Las transformaciones se aplican sobre el dataset ya corregido y se ajustan solo con el bloque de train, para que la validación y el test no aporten información al preprocesamiento. Se generan dos versiones: una sin transformar, para modelos de árboles, y otra transformada, para una regresión logística prevista como línea base explicable (el negocio exige explicabilidad).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000"/>
      </w:tblGrid>
      <w:tr>
        <w:trPr>
          <w:tblHeader/>
        </w:trPr>
        <w:tc>
          <w:tcPr>
            <w:tcW w:type="dxa" w:w="2600"/>
            <w:shd w:fill="1F3864" w:color="auto" w:val="clear"/>
            <w:tcMar>
              <w:top w:type="dxa" w:w="50"/>
              <w:left w:type="dxa" w:w="80"/>
              <w:bottom w:type="dxa" w:w="50"/>
              <w:right w:type="dxa" w:w="80"/>
            </w:tcMar>
          </w:tcPr>
          <w:p>
            <w:pPr>
              <w:spacing w:line="240"/>
              <w:jc w:val="left"/>
            </w:pPr>
            <w:r>
              <w:rPr>
                <w:b/>
                <w:bCs/>
                <w:color w:val="FFFFFF"/>
                <w:sz w:val="15"/>
                <w:szCs w:val="15"/>
              </w:rPr>
              <w:t xml:space="preserve">Tipo de transformación</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Variable(s) afectada(s)</w:t>
            </w:r>
          </w:p>
        </w:tc>
        <w:tc>
          <w:tcPr>
            <w:tcW w:type="dxa" w:w="2200"/>
            <w:shd w:fill="1F3864" w:color="auto" w:val="clear"/>
            <w:tcMar>
              <w:top w:type="dxa" w:w="50"/>
              <w:left w:type="dxa" w:w="80"/>
              <w:bottom w:type="dxa" w:w="50"/>
              <w:right w:type="dxa" w:w="80"/>
            </w:tcMar>
          </w:tcPr>
          <w:p>
            <w:pPr>
              <w:spacing w:line="240"/>
              <w:jc w:val="left"/>
            </w:pPr>
            <w:r>
              <w:rPr>
                <w:b/>
                <w:bCs/>
                <w:color w:val="FFFFFF"/>
                <w:sz w:val="15"/>
                <w:szCs w:val="15"/>
              </w:rPr>
              <w:t xml:space="preserve">Técnica utilizada</w:t>
            </w:r>
          </w:p>
        </w:tc>
        <w:tc>
          <w:tcPr>
            <w:tcW w:type="dxa" w:w="2000"/>
            <w:shd w:fill="1F3864" w:color="auto" w:val="clear"/>
            <w:tcMar>
              <w:top w:type="dxa" w:w="50"/>
              <w:left w:type="dxa" w:w="80"/>
              <w:bottom w:type="dxa" w:w="50"/>
              <w:right w:type="dxa" w:w="80"/>
            </w:tcMar>
          </w:tcPr>
          <w:p>
            <w:pPr>
              <w:spacing w:line="240"/>
              <w:jc w:val="left"/>
            </w:pPr>
            <w:r>
              <w:rPr>
                <w:b/>
                <w:bCs/>
                <w:color w:val="FFFFFF"/>
                <w:sz w:val="15"/>
                <w:szCs w:val="15"/>
              </w:rPr>
              <w:t xml:space="preserve">Justificación</w:t>
            </w:r>
          </w:p>
        </w:tc>
      </w:tr>
      <w:tr>
        <w:tc>
          <w:tcPr>
            <w:tcW w:type="dxa" w:w="2600"/>
            <w:tcMar>
              <w:top w:type="dxa" w:w="50"/>
              <w:left w:type="dxa" w:w="80"/>
              <w:bottom w:type="dxa" w:w="50"/>
              <w:right w:type="dxa" w:w="80"/>
            </w:tcMar>
          </w:tcPr>
          <w:p>
            <w:pPr>
              <w:spacing w:line="240"/>
              <w:jc w:val="left"/>
            </w:pPr>
            <w:r>
              <w:rPr>
                <w:b w:val="false"/>
                <w:bCs w:val="false"/>
                <w:color w:val="000000"/>
                <w:sz w:val="17"/>
                <w:szCs w:val="17"/>
              </w:rPr>
              <w:t xml:space="preserve">Tratamiento de outliers / valores extremos</w:t>
            </w:r>
          </w:p>
        </w:tc>
        <w:tc>
          <w:tcPr>
            <w:tcW w:type="dxa" w:w="2200"/>
            <w:tcMar>
              <w:top w:type="dxa" w:w="50"/>
              <w:left w:type="dxa" w:w="80"/>
              <w:bottom w:type="dxa" w:w="50"/>
              <w:right w:type="dxa" w:w="80"/>
            </w:tcMar>
          </w:tcPr>
          <w:p>
            <w:pPr>
              <w:spacing w:line="240"/>
              <w:jc w:val="left"/>
            </w:pPr>
            <w:r>
              <w:rPr>
                <w:color w:val="000000"/>
                <w:sz w:val="15"/>
                <w:szCs w:val="15"/>
              </w:rPr>
              <w:t xml:space="preserve">Variables continuas de demanda, stock, precio, abastecimiento y contexto (45)</w:t>
            </w:r>
          </w:p>
        </w:tc>
        <w:tc>
          <w:tcPr>
            <w:tcW w:type="dxa" w:w="2200"/>
            <w:tcMar>
              <w:top w:type="dxa" w:w="50"/>
              <w:left w:type="dxa" w:w="80"/>
              <w:bottom w:type="dxa" w:w="50"/>
              <w:right w:type="dxa" w:w="80"/>
            </w:tcMar>
          </w:tcPr>
          <w:p>
            <w:pPr>
              <w:spacing w:line="240"/>
              <w:jc w:val="left"/>
            </w:pPr>
            <w:r>
              <w:rPr>
                <w:color w:val="000000"/>
                <w:sz w:val="15"/>
                <w:szCs w:val="15"/>
              </w:rPr>
              <w:t xml:space="preserve">Winsorización al percentil 1 y 99, con límites calculados solo en train.</w:t>
            </w:r>
          </w:p>
        </w:tc>
        <w:tc>
          <w:tcPr>
            <w:tcW w:type="dxa" w:w="2000"/>
            <w:tcMar>
              <w:top w:type="dxa" w:w="50"/>
              <w:left w:type="dxa" w:w="80"/>
              <w:bottom w:type="dxa" w:w="50"/>
              <w:right w:type="dxa" w:w="80"/>
            </w:tcMar>
          </w:tcPr>
          <w:p>
            <w:pPr>
              <w:spacing w:line="240"/>
              <w:jc w:val="left"/>
            </w:pPr>
            <w:r>
              <w:rPr>
                <w:color w:val="000000"/>
                <w:sz w:val="15"/>
                <w:szCs w:val="15"/>
              </w:rPr>
              <w:t xml:space="preserve">Colas largas: la cobertura tiene percentil 99 de 15 meses y máximo de 84. No se eliminan filas porque el EDA mostró que es asimetría real, no error (los errores ya se corrigieron en la sección 1). No se aplica a conteos con pocos valores, donde el percentil 99 anularía la variable.</w:t>
            </w:r>
          </w:p>
        </w:tc>
      </w:tr>
      <w:tr>
        <w:tc>
          <w:tcPr>
            <w:tcW w:type="dxa" w:w="2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Transformación de distribuciones sesgadas</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25 variables con asimetría &gt; 1 en train: stock, cobertura, capital inmovilizado, OC, transferencias, liquidaciones, promociones, meses sin venta, coeficiente de variación, entre otras</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log(1 + x). Las variaciones de stock y de cobertura admiten negativos: logaritmo con signo.</w:t>
            </w:r>
          </w:p>
        </w:tc>
        <w:tc>
          <w:tcPr>
            <w:tcW w:type="dxa" w:w="2000"/>
            <w:shd w:fill="F2F2F2" w:color="auto" w:val="clear"/>
            <w:tcMar>
              <w:top w:type="dxa" w:w="50"/>
              <w:left w:type="dxa" w:w="80"/>
              <w:bottom w:type="dxa" w:w="50"/>
              <w:right w:type="dxa" w:w="80"/>
            </w:tcMar>
          </w:tcPr>
          <w:p>
            <w:pPr>
              <w:spacing w:line="240"/>
              <w:jc w:val="left"/>
            </w:pPr>
            <w:r>
              <w:rPr>
                <w:color w:val="000000"/>
                <w:sz w:val="15"/>
                <w:szCs w:val="15"/>
              </w:rPr>
              <w:t xml:space="preserve">Reduce el peso de los extremos y acerca las distribuciones a la simetría (la cobertura tenía asimetría 3,98).</w:t>
            </w:r>
          </w:p>
        </w:tc>
      </w:tr>
      <w:tr>
        <w:tc>
          <w:tcPr>
            <w:tcW w:type="dxa" w:w="2600"/>
            <w:tcMar>
              <w:top w:type="dxa" w:w="50"/>
              <w:left w:type="dxa" w:w="80"/>
              <w:bottom w:type="dxa" w:w="50"/>
              <w:right w:type="dxa" w:w="80"/>
            </w:tcMar>
          </w:tcPr>
          <w:p>
            <w:pPr>
              <w:spacing w:line="240"/>
              <w:jc w:val="left"/>
            </w:pPr>
            <w:r>
              <w:rPr>
                <w:b w:val="false"/>
                <w:bCs w:val="false"/>
                <w:color w:val="000000"/>
                <w:sz w:val="17"/>
                <w:szCs w:val="17"/>
              </w:rPr>
              <w:t xml:space="preserve">Normalización / escalado de variables numéricas</w:t>
            </w:r>
          </w:p>
        </w:tc>
        <w:tc>
          <w:tcPr>
            <w:tcW w:type="dxa" w:w="2200"/>
            <w:tcMar>
              <w:top w:type="dxa" w:w="50"/>
              <w:left w:type="dxa" w:w="80"/>
              <w:bottom w:type="dxa" w:w="50"/>
              <w:right w:type="dxa" w:w="80"/>
            </w:tcMar>
          </w:tcPr>
          <w:p>
            <w:pPr>
              <w:spacing w:line="240"/>
              <w:jc w:val="left"/>
            </w:pPr>
            <w:r>
              <w:rPr>
                <w:color w:val="000000"/>
                <w:sz w:val="15"/>
                <w:szCs w:val="15"/>
              </w:rPr>
              <w:t xml:space="preserve">Todas las numéricas continuas</w:t>
            </w:r>
          </w:p>
        </w:tc>
        <w:tc>
          <w:tcPr>
            <w:tcW w:type="dxa" w:w="2200"/>
            <w:tcMar>
              <w:top w:type="dxa" w:w="50"/>
              <w:left w:type="dxa" w:w="80"/>
              <w:bottom w:type="dxa" w:w="50"/>
              <w:right w:type="dxa" w:w="80"/>
            </w:tcMar>
          </w:tcPr>
          <w:p>
            <w:pPr>
              <w:spacing w:line="240"/>
              <w:jc w:val="left"/>
            </w:pPr>
            <w:r>
              <w:rPr>
                <w:color w:val="000000"/>
                <w:sz w:val="15"/>
                <w:szCs w:val="15"/>
              </w:rPr>
              <w:t xml:space="preserve">Estandarización (media 0, desvío 1) con media y desvío de train.</w:t>
            </w:r>
          </w:p>
        </w:tc>
        <w:tc>
          <w:tcPr>
            <w:tcW w:type="dxa" w:w="2000"/>
            <w:tcMar>
              <w:top w:type="dxa" w:w="50"/>
              <w:left w:type="dxa" w:w="80"/>
              <w:bottom w:type="dxa" w:w="50"/>
              <w:right w:type="dxa" w:w="80"/>
            </w:tcMar>
          </w:tcPr>
          <w:p>
            <w:pPr>
              <w:spacing w:line="240"/>
              <w:jc w:val="left"/>
            </w:pPr>
            <w:r>
              <w:rPr>
                <w:color w:val="000000"/>
                <w:sz w:val="15"/>
                <w:szCs w:val="15"/>
              </w:rPr>
              <w:t xml:space="preserve">Las escalas son muy distintas (precios en decenas de miles, conteos de 0 a 12). Lo necesita la regresión logística regularizada prevista como línea base. Los modelos de árboles usan la versión sin transformar.</w:t>
            </w:r>
          </w:p>
        </w:tc>
      </w:tr>
      <w:tr>
        <w:tc>
          <w:tcPr>
            <w:tcW w:type="dxa" w:w="2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Codificación de variables categóricas (one-hot / label encoding)</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Categoría (7), subcategoría (25), región (5), formato (3), proveedor (10)</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One-hot.</w:t>
            </w:r>
          </w:p>
        </w:tc>
        <w:tc>
          <w:tcPr>
            <w:tcW w:type="dxa" w:w="2000"/>
            <w:shd w:fill="F2F2F2" w:color="auto" w:val="clear"/>
            <w:tcMar>
              <w:top w:type="dxa" w:w="50"/>
              <w:left w:type="dxa" w:w="80"/>
              <w:bottom w:type="dxa" w:w="50"/>
              <w:right w:type="dxa" w:w="80"/>
            </w:tcMar>
          </w:tcPr>
          <w:p>
            <w:pPr>
              <w:spacing w:line="240"/>
              <w:jc w:val="left"/>
            </w:pPr>
            <w:r>
              <w:rPr>
                <w:color w:val="000000"/>
                <w:sz w:val="15"/>
                <w:szCs w:val="15"/>
              </w:rPr>
              <w:t xml:space="preserve">Son nominales: el label encoding impondría un orden que no existe. Los identificadores de tienda y SKU no se codifican para que el modelo no memorice posiciones.</w:t>
            </w:r>
          </w:p>
        </w:tc>
      </w:tr>
      <w:tr>
        <w:tc>
          <w:tcPr>
            <w:tcW w:type="dxa" w:w="2600"/>
            <w:tcMar>
              <w:top w:type="dxa" w:w="50"/>
              <w:left w:type="dxa" w:w="80"/>
              <w:bottom w:type="dxa" w:w="50"/>
              <w:right w:type="dxa" w:w="80"/>
            </w:tcMar>
          </w:tcPr>
          <w:p>
            <w:pPr>
              <w:spacing w:line="240"/>
              <w:jc w:val="left"/>
            </w:pPr>
            <w:r>
              <w:rPr>
                <w:b w:val="false"/>
                <w:bCs w:val="false"/>
                <w:color w:val="000000"/>
                <w:sz w:val="17"/>
                <w:szCs w:val="17"/>
              </w:rPr>
              <w:t xml:space="preserve">Extracción de features desde variables temporales</w:t>
            </w:r>
          </w:p>
        </w:tc>
        <w:tc>
          <w:tcPr>
            <w:tcW w:type="dxa" w:w="2200"/>
            <w:tcMar>
              <w:top w:type="dxa" w:w="50"/>
              <w:left w:type="dxa" w:w="80"/>
              <w:bottom w:type="dxa" w:w="50"/>
              <w:right w:type="dxa" w:w="80"/>
            </w:tcMar>
          </w:tcPr>
          <w:p>
            <w:pPr>
              <w:spacing w:line="240"/>
              <w:jc w:val="left"/>
            </w:pPr>
            <w:r>
              <w:rPr>
                <w:color w:val="000000"/>
                <w:sz w:val="15"/>
                <w:szCs w:val="15"/>
              </w:rPr>
              <w:t xml:space="preserve">Fecha de corte y fecha de alta del SKU</w:t>
            </w:r>
          </w:p>
        </w:tc>
        <w:tc>
          <w:tcPr>
            <w:tcW w:type="dxa" w:w="2200"/>
            <w:tcMar>
              <w:top w:type="dxa" w:w="50"/>
              <w:left w:type="dxa" w:w="80"/>
              <w:bottom w:type="dxa" w:w="50"/>
              <w:right w:type="dxa" w:w="80"/>
            </w:tcMar>
          </w:tcPr>
          <w:p>
            <w:pPr>
              <w:spacing w:line="240"/>
              <w:jc w:val="left"/>
            </w:pPr>
            <w:r>
              <w:rPr>
                <w:color w:val="000000"/>
                <w:sz w:val="15"/>
                <w:szCs w:val="15"/>
              </w:rPr>
              <w:t xml:space="preserve">Mes del año como seno y coseno. Antigüedad del SKU en meses. Ventanas móviles de 3, 6 y 12 meses, meses consecutivos sin venta, variación del stock a 3 meses.</w:t>
            </w:r>
          </w:p>
        </w:tc>
        <w:tc>
          <w:tcPr>
            <w:tcW w:type="dxa" w:w="2000"/>
            <w:tcMar>
              <w:top w:type="dxa" w:w="50"/>
              <w:left w:type="dxa" w:w="80"/>
              <w:bottom w:type="dxa" w:w="50"/>
              <w:right w:type="dxa" w:w="80"/>
            </w:tcMar>
          </w:tcPr>
          <w:p>
            <w:pPr>
              <w:spacing w:line="240"/>
              <w:jc w:val="left"/>
            </w:pPr>
            <w:r>
              <w:rPr>
                <w:color w:val="000000"/>
                <w:sz w:val="15"/>
                <w:szCs w:val="15"/>
              </w:rPr>
              <w:t xml:space="preserve">La codificación cíclica mantiene diciembre junto a enero. Las ventanas resumen la trayectoria de la posición, que es lo que anticipa el riesgo. El mes se incluye para que el modelo verifique la estacionalidad que percibe el negocio y que el EDA no confirma.</w:t>
            </w:r>
          </w:p>
        </w:tc>
      </w:tr>
      <w:tr>
        <w:tc>
          <w:tcPr>
            <w:tcW w:type="dxa" w:w="2600"/>
            <w:shd w:fill="F2F2F2" w:color="auto" w:val="clear"/>
            <w:tcMar>
              <w:top w:type="dxa" w:w="50"/>
              <w:left w:type="dxa" w:w="80"/>
              <w:bottom w:type="dxa" w:w="50"/>
              <w:right w:type="dxa" w:w="80"/>
            </w:tcMar>
          </w:tcPr>
          <w:p>
            <w:pPr>
              <w:spacing w:line="240"/>
              <w:jc w:val="left"/>
            </w:pPr>
            <w:r>
              <w:rPr>
                <w:b w:val="false"/>
                <w:bCs w:val="false"/>
                <w:color w:val="000000"/>
                <w:sz w:val="17"/>
                <w:szCs w:val="17"/>
              </w:rPr>
              <w:t xml:space="preserve">Tratamiento de valores faltantes remanentes</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Ratios sin denominador (177 filas sin venta en 12 meses), cobertura de hace 3 meses, meses desde la última OC (17.295 filas sin OC previa), cumplimiento presupuestario sin presupuesto válido, eventos inexistentes.</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Coberturas con tope de 60 meses más el indicador sin venta; meses desde la última OC con tope de 60; tendencias en 1 (neutro) y proporciones en 0; cumplimiento y cobertura de depósito con la mediana de train; eventos ausentes en 0.</w:t>
            </w:r>
          </w:p>
        </w:tc>
        <w:tc>
          <w:tcPr>
            <w:tcW w:type="dxa" w:w="2000"/>
            <w:shd w:fill="F2F2F2" w:color="auto" w:val="clear"/>
            <w:tcMar>
              <w:top w:type="dxa" w:w="50"/>
              <w:left w:type="dxa" w:w="80"/>
              <w:bottom w:type="dxa" w:w="50"/>
              <w:right w:type="dxa" w:w="80"/>
            </w:tcMar>
          </w:tcPr>
          <w:p>
            <w:pPr>
              <w:spacing w:line="240"/>
              <w:jc w:val="left"/>
            </w:pPr>
            <w:r>
              <w:rPr>
                <w:color w:val="000000"/>
                <w:sz w:val="15"/>
                <w:szCs w:val="15"/>
              </w:rPr>
              <w:t xml:space="preserve">El faltante no es un dato perdido: es un denominador en cero o la ausencia del evento. El indicador conserva esa información. El costo de los 22 SKUs ya se resolvió en la sección 1 y queda marcado con costo_imputado.</w:t>
            </w:r>
          </w:p>
        </w:tc>
      </w:tr>
      <w:tr>
        <w:tc>
          <w:tcPr>
            <w:tcW w:type="dxa" w:w="2600"/>
            <w:tcMar>
              <w:top w:type="dxa" w:w="50"/>
              <w:left w:type="dxa" w:w="80"/>
              <w:bottom w:type="dxa" w:w="50"/>
              <w:right w:type="dxa" w:w="80"/>
            </w:tcMar>
          </w:tcPr>
          <w:p>
            <w:pPr>
              <w:spacing w:line="240"/>
              <w:jc w:val="left"/>
            </w:pPr>
            <w:r>
              <w:rPr>
                <w:b w:val="false"/>
                <w:bCs w:val="false"/>
                <w:color w:val="000000"/>
                <w:sz w:val="17"/>
                <w:szCs w:val="17"/>
              </w:rPr>
              <w:t xml:space="preserve">Balanceo de clases (si aplica)</w:t>
            </w:r>
          </w:p>
        </w:tc>
        <w:tc>
          <w:tcPr>
            <w:tcW w:type="dxa" w:w="2200"/>
            <w:tcMar>
              <w:top w:type="dxa" w:w="50"/>
              <w:left w:type="dxa" w:w="80"/>
              <w:bottom w:type="dxa" w:w="50"/>
              <w:right w:type="dxa" w:w="80"/>
            </w:tcMar>
          </w:tcPr>
          <w:p>
            <w:pPr>
              <w:spacing w:line="240"/>
              <w:jc w:val="left"/>
            </w:pPr>
            <w:r>
              <w:rPr>
                <w:color w:val="000000"/>
                <w:sz w:val="15"/>
                <w:szCs w:val="15"/>
              </w:rPr>
              <w:t xml:space="preserve">Target</w:t>
            </w:r>
          </w:p>
        </w:tc>
        <w:tc>
          <w:tcPr>
            <w:tcW w:type="dxa" w:w="2200"/>
            <w:tcMar>
              <w:top w:type="dxa" w:w="50"/>
              <w:left w:type="dxa" w:w="80"/>
              <w:bottom w:type="dxa" w:w="50"/>
              <w:right w:type="dxa" w:w="80"/>
            </w:tcMar>
          </w:tcPr>
          <w:p>
            <w:pPr>
              <w:spacing w:line="240"/>
              <w:jc w:val="left"/>
            </w:pPr>
            <w:r>
              <w:rPr>
                <w:color w:val="000000"/>
                <w:sz w:val="15"/>
                <w:szCs w:val="15"/>
              </w:rPr>
              <w:t xml:space="preserve">Sin sobremuestreo. Ponderación de clases (peso de la clase positiva ≈ 55, calculado en train) y umbral de decisión elegido en validación para priorizar recall.</w:t>
            </w:r>
          </w:p>
        </w:tc>
        <w:tc>
          <w:tcPr>
            <w:tcW w:type="dxa" w:w="2000"/>
            <w:tcMar>
              <w:top w:type="dxa" w:w="50"/>
              <w:left w:type="dxa" w:w="80"/>
              <w:bottom w:type="dxa" w:w="50"/>
              <w:right w:type="dxa" w:w="80"/>
            </w:tcMar>
          </w:tcPr>
          <w:p>
            <w:pPr>
              <w:spacing w:line="240"/>
              <w:jc w:val="left"/>
            </w:pPr>
            <w:r>
              <w:rPr>
                <w:color w:val="000000"/>
                <w:sz w:val="15"/>
                <w:szCs w:val="15"/>
              </w:rPr>
              <w:t xml:space="preserve">La prevalencia en train es 1,8%. SMOTE crearía posiciones sintéticas que mezclan meses y rompería la estructura temporal. El negocio prioriza recall.</w:t>
            </w:r>
          </w:p>
        </w:tc>
      </w:tr>
      <w:tr>
        <w:tc>
          <w:tcPr>
            <w:tcW w:type="dxa" w:w="2600"/>
            <w:shd w:fill="F2F2F2" w:color="auto" w:val="clear"/>
            <w:tcMar>
              <w:top w:type="dxa" w:w="50"/>
              <w:left w:type="dxa" w:w="80"/>
              <w:bottom w:type="dxa" w:w="50"/>
              <w:right w:type="dxa" w:w="80"/>
            </w:tcMar>
          </w:tcPr>
          <w:p>
            <w:pPr>
              <w:spacing w:line="240"/>
              <w:jc w:val="left"/>
            </w:pPr>
            <w:r>
              <w:rPr>
                <w:color w:val="000000"/>
                <w:sz w:val="15"/>
                <w:szCs w:val="15"/>
              </w:rPr>
              <w:t xml:space="preserve">Otra: prevención de data leakage</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Todas las features</w:t>
            </w:r>
          </w:p>
        </w:tc>
        <w:tc>
          <w:tcPr>
            <w:tcW w:type="dxa" w:w="2200"/>
            <w:shd w:fill="F2F2F2" w:color="auto" w:val="clear"/>
            <w:tcMar>
              <w:top w:type="dxa" w:w="50"/>
              <w:left w:type="dxa" w:w="80"/>
              <w:bottom w:type="dxa" w:w="50"/>
              <w:right w:type="dxa" w:w="80"/>
            </w:tcMar>
          </w:tcPr>
          <w:p>
            <w:pPr>
              <w:spacing w:line="240"/>
              <w:jc w:val="left"/>
            </w:pPr>
            <w:r>
              <w:rPr>
                <w:color w:val="000000"/>
                <w:sz w:val="15"/>
                <w:szCs w:val="15"/>
              </w:rPr>
              <w:t xml:space="preserve">Ventanas cerradas en t. OC pendientes = pedidas y no recibidas al cierre de t. Transformaciones ajustadas solo en train. Embargo de 3 meses entre bloques. Discontinuados fuera del universo.</w:t>
            </w:r>
          </w:p>
        </w:tc>
        <w:tc>
          <w:tcPr>
            <w:tcW w:type="dxa" w:w="2000"/>
            <w:shd w:fill="F2F2F2" w:color="auto" w:val="clear"/>
            <w:tcMar>
              <w:top w:type="dxa" w:w="50"/>
              <w:left w:type="dxa" w:w="80"/>
              <w:bottom w:type="dxa" w:w="50"/>
              <w:right w:type="dxa" w:w="80"/>
            </w:tcMar>
          </w:tcPr>
          <w:p>
            <w:pPr>
              <w:spacing w:line="240"/>
              <w:jc w:val="left"/>
            </w:pPr>
            <w:r>
              <w:rPr>
                <w:color w:val="000000"/>
                <w:sz w:val="15"/>
                <w:szCs w:val="15"/>
              </w:rPr>
              <w:t xml:space="preserve">Garantiza que el modelo use solo información disponible al momento de predecir.</w:t>
            </w:r>
          </w:p>
        </w:tc>
      </w:tr>
    </w:tbl>
    <w:sectPr>
      <w:headerReference w:type="default" r:id="rId7"/>
      <w:footerReference w:type="default" r:id="rId8"/>
      <w:pgSz w:w="11906" w:h="16838" w:orient="portrait"/>
      <w:pgMar w:top="1100" w:right="1000" w:bottom="11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Casa Óga — Pág.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Casa Óga · Entregable 2 · Parte 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Entregable 2 Parte B - Casa Óga</dc:title>
  <dc:creator>Grupo 1 - Casa Óga</dc:creator>
  <cp:lastModifiedBy>Un-named</cp:lastModifiedBy>
  <cp:revision>1</cp:revision>
  <dcterms:created xsi:type="dcterms:W3CDTF">2026-09-25T17:14:24.567Z</dcterms:created>
  <dcterms:modified xsi:type="dcterms:W3CDTF">2026-09-25T17:14:24.580Z</dcterms:modified>
</cp:coreProperties>
</file>

<file path=docProps/custom.xml><?xml version="1.0" encoding="utf-8"?>
<Properties xmlns="http://schemas.openxmlformats.org/officeDocument/2006/custom-properties" xmlns:vt="http://schemas.openxmlformats.org/officeDocument/2006/docPropsVTypes"/>
</file>