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color w:val="808080"/>
          <w:sz w:val="20"/>
          <w:szCs w:val="20"/>
        </w:rPr>
        <w:t xml:space="preserve">Factibilidad de Proyectos Data Driven — 2C 2026</w:t>
      </w:r>
    </w:p>
    <w:p>
      <w:pPr>
        <w:spacing w:after="220"/>
        <w:jc w:val="center"/>
      </w:pPr>
      <w:r>
        <w:rPr>
          <w:color w:val="808080"/>
          <w:sz w:val="20"/>
          <w:szCs w:val="20"/>
        </w:rPr>
        <w:t xml:space="preserve">Entregable Nro 2</w:t>
      </w:r>
    </w:p>
    <w:p>
      <w:pPr>
        <w:spacing w:after="50" w:before="140"/>
        <w:jc w:val="center"/>
      </w:pPr>
      <w:r>
        <w:rPr>
          <w:b/>
          <w:bCs/>
          <w:sz w:val="38"/>
          <w:szCs w:val="38"/>
        </w:rPr>
        <w:t xml:space="preserve">Casa Óga · Retail de Hogar y Decoración</w:t>
      </w:r>
    </w:p>
    <w:p>
      <w:pPr>
        <w:spacing w:after="280"/>
        <w:jc w:val="center"/>
      </w:pPr>
      <w:r>
        <w:rPr>
          <w:color w:val="C0504D"/>
          <w:sz w:val="24"/>
          <w:szCs w:val="24"/>
        </w:rPr>
        <w:t xml:space="preserve">Entregable 2 · Parte B — Corrección de Datos y Preparación de Datos para el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Integrante(s)</w:t>
            </w:r>
          </w:p>
        </w:tc>
        <w:tc>
          <w:tcPr>
            <w:tcW w:type="dxa" w:w="4200"/>
            <w:tcMar>
              <w:top w:type="dxa" w:w="50"/>
              <w:left w:type="dxa" w:w="80"/>
              <w:bottom w:type="dxa" w:w="50"/>
              <w:right w:type="dxa" w:w="80"/>
            </w:tcMar>
          </w:tcPr>
          <w:p>
            <w:pPr>
              <w:spacing w:line="240"/>
              <w:jc w:val="left"/>
            </w:pPr>
            <w:r>
              <w:rPr>
                <w:b/>
                <w:bCs/>
                <w:color w:val="000000"/>
                <w:sz w:val="19"/>
                <w:szCs w:val="19"/>
              </w:rPr>
              <w:t xml:space="preserve">Nombre y legajo</w:t>
            </w:r>
          </w:p>
        </w:tc>
        <w:tc>
          <w:tcPr>
            <w:tcW w:type="dxa" w:w="2800"/>
            <w:tcMar>
              <w:top w:type="dxa" w:w="50"/>
              <w:left w:type="dxa" w:w="80"/>
              <w:bottom w:type="dxa" w:w="50"/>
              <w:right w:type="dxa" w:w="80"/>
            </w:tcMar>
          </w:tcPr>
          <w:p>
            <w:pPr>
              <w:spacing w:line="240"/>
              <w:jc w:val="left"/>
            </w:pPr>
            <w:r>
              <w:rPr>
                <w:b/>
                <w:bCs/>
                <w:color w:val="000000"/>
                <w:sz w:val="19"/>
                <w:szCs w:val="19"/>
              </w:rPr>
              <w:t xml:space="preserve">Rol asignado en esta fase</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Gerónimo Fasce — 64401</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Visualización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Gianfranco Di Claudio — 64505</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Coordinación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Matías Fleischer — 65616</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calidad y preparación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Simón Volpato Escandarani — 64784</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modelado y evaluación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Santiago Javier Hernández — 64449</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Comunicación</w:t>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Fecha de entrega</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__/__/2026</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Versión</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v1.0</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bl>
    <w:p>
      <w:pPr>
        <w:pStyle w:val="Heading1"/>
        <w:shd w:fill="F2F2F2" w:color="auto" w:val="clear"/>
        <w:spacing w:after="150" w:before="300"/>
      </w:pPr>
      <w:r>
        <w:rPr>
          <w:b/>
          <w:bCs/>
          <w:sz w:val="28"/>
          <w:szCs w:val="28"/>
        </w:rPr>
        <w:t xml:space="preserve">Sección 1 · Hallazgos y Plan de Mejora de Calidad</w:t>
      </w:r>
    </w:p>
    <w:p>
      <w:pPr>
        <w:pStyle w:val="Heading2"/>
        <w:spacing w:after="90" w:before="220"/>
      </w:pPr>
      <w:r>
        <w:rPr>
          <w:b/>
          <w:bCs/>
          <w:color w:val="C0504D"/>
          <w:sz w:val="22"/>
          <w:szCs w:val="22"/>
        </w:rPr>
        <w:t xml:space="preserve">1.1 Hallazgos y Gaps de Calidad</w:t>
      </w:r>
    </w:p>
    <w:p>
      <w:pPr>
        <w:spacing w:after="110" w:line="276"/>
        <w:jc w:val="both"/>
      </w:pPr>
      <w:r>
        <w:rPr>
          <w:sz w:val="21"/>
          <w:szCs w:val="21"/>
        </w:rPr>
        <w:t xml:space="preserve">La evaluación se realizó sobre las 15 fuentes de datos del caso, con corte en agosto de 2026. Los datos de 2026 llegaron en una segunda entrega: son los mismos archivos con los meses nuevos agregados, y se verificó que el tramo 2022-2025 quedó idéntico al de la primera entrega, por lo que el diagnóstico previo sigue vigente. Las respuestas del negocio a la segunda ronda de consultas confirmaron las causas de varios hallazgos y definieron criterios de tratamiento, que se incorporan a continuación.</w:t>
      </w:r>
    </w:p>
    <w:p>
      <w:pPr>
        <w:spacing w:after="110" w:line="276"/>
        <w:jc w:val="both"/>
      </w:pPr>
      <w:r>
        <w:rPr>
          <w:sz w:val="21"/>
          <w:szCs w:val="21"/>
        </w:rPr>
        <w:t xml:space="preserve">Se identificaron trece hallazgos abiertos y dos ya resueltos durante la normalización de los datasets. Un dato transversal orienta la lectura: los problemas de unicidad, exactitud y validez están concentrados en el tramo 2022-2025. Las 60.064 filas incorporadas en 2026 no presentan duplicados, valores negativos ni nulos en Ventas ni en Stock, pero eso no prueba que los errores se hayan corregido (ver el párrafo siguiente y H13).</w:t>
      </w:r>
    </w:p>
    <w:p>
      <w:pPr>
        <w:spacing w:after="110" w:line="276"/>
        <w:jc w:val="both"/>
      </w:pPr>
      <w:r>
        <w:rPr>
          <w:b/>
          <w:bCs/>
          <w:sz w:val="21"/>
          <w:szCs w:val="21"/>
        </w:rPr>
        <w:t xml:space="preserve">2026: un tramo con otra fuente de reporte. </w:t>
      </w:r>
      <w:r>
        <w:rPr>
          <w:b w:val="false"/>
          <w:bCs w:val="false"/>
          <w:sz w:val="21"/>
          <w:szCs w:val="21"/>
        </w:rPr>
        <w:t xml:space="preserve">Casa Óga informó que los datos de 2026 no salen del mismo extracto que 2022-2025, sino de un reporte consolidado nuevo. Por eso 2026 se declara como un tramo con otra fuente de reporte: que en él no aparezcan claves duplicadas, valores negativos ni devoluciones puede deberse a que el reporte nuevo los consolida (netea, lleva a cero o unifica registros) y no a que se hayan corregido en los sistemas de origen. H1, H4 y H5 no se dan por resueltos en ese período y se agrega como riesgo (H13) que los errores de origen siguen sin control.</w:t>
      </w:r>
    </w:p>
    <w:p>
      <w:pPr>
        <w:spacing w:after="110" w:line="276"/>
        <w:jc w:val="both"/>
      </w:pPr>
      <w:r>
        <w:rPr>
          <w:b/>
          <w:bCs/>
          <w:sz w:val="21"/>
          <w:szCs w:val="21"/>
        </w:rPr>
        <w:t xml:space="preserve">Cómo se leen la caída de 2026 y el test del modelo. </w:t>
      </w:r>
      <w:r>
        <w:rPr>
          <w:b w:val="false"/>
          <w:bCs w:val="false"/>
          <w:sz w:val="21"/>
          <w:szCs w:val="21"/>
        </w:rPr>
        <w:t xml:space="preserve">Hay que separar dos efectos. El de surtido está medido: 2 de cada 3 pesos de la caída de ene-ago 2026 corresponden a los 96 SKUs discontinuados a fin de 2025 (Parte A §2.3). El del cambio de fuente no puede aislarse con los datos recibidos: 2026 no trae devoluciones (en 2022-2025 restaban el 1,3% de las unidades) y el reporte nuevo puede consolidar con otras reglas. En el dataset del modelo, la prevalencia del target pasa de 2,1% en validación 2025 a 8,8% en test 2026. Para el modelo, el Entregable 3 reportará por separado la validación 2025 y el test 2026, junto con la regla «cobertura actual mayor a 12» como línea base, y explicará la diferencia (pendiente).</w:t>
      </w:r>
    </w:p>
    <w:p>
      <w:pPr>
        <w:spacing w:after="70" w:before="180"/>
      </w:pPr>
      <w:r>
        <w:rPr>
          <w:b/>
          <w:bCs/>
          <w:sz w:val="21"/>
          <w:szCs w:val="21"/>
        </w:rPr>
        <w:t xml:space="preserve">Hallazgos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1500"/>
        <w:gridCol w:w="1500"/>
        <w:gridCol w:w="9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4"/>
                <w:szCs w:val="14"/>
              </w:rPr>
              <w:t xml:space="preserve">ID</w:t>
            </w:r>
          </w:p>
        </w:tc>
        <w:tc>
          <w:tcPr>
            <w:tcW w:type="dxa" w:w="2700"/>
            <w:shd w:fill="1F3864" w:color="auto" w:val="clear"/>
            <w:tcMar>
              <w:top w:type="dxa" w:w="50"/>
              <w:left w:type="dxa" w:w="80"/>
              <w:bottom w:type="dxa" w:w="50"/>
              <w:right w:type="dxa" w:w="80"/>
            </w:tcMar>
          </w:tcPr>
          <w:p>
            <w:pPr>
              <w:spacing w:line="240"/>
              <w:jc w:val="left"/>
            </w:pPr>
            <w:r>
              <w:rPr>
                <w:b/>
                <w:bCs/>
                <w:color w:val="FFFFFF"/>
                <w:sz w:val="14"/>
                <w:szCs w:val="14"/>
              </w:rPr>
              <w:t xml:space="preserve">Hallazgo</w:t>
            </w:r>
          </w:p>
        </w:tc>
        <w:tc>
          <w:tcPr>
            <w:tcW w:type="dxa" w:w="1900"/>
            <w:shd w:fill="1F3864" w:color="auto" w:val="clear"/>
            <w:tcMar>
              <w:top w:type="dxa" w:w="50"/>
              <w:left w:type="dxa" w:w="80"/>
              <w:bottom w:type="dxa" w:w="50"/>
              <w:right w:type="dxa" w:w="80"/>
            </w:tcMar>
          </w:tcPr>
          <w:p>
            <w:pPr>
              <w:spacing w:line="240"/>
              <w:jc w:val="left"/>
            </w:pPr>
            <w:r>
              <w:rPr>
                <w:b/>
                <w:bCs/>
                <w:color w:val="FFFFFF"/>
                <w:sz w:val="14"/>
                <w:szCs w:val="14"/>
              </w:rPr>
              <w:t xml:space="preserve">Fuentes afectadas</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Dimensión</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Magnitud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Criticidad</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Combinaciones de clave (mes, tienda, SKU) duplicadas. En Ventas, 2.322 tienen valores distintos entre sí y 811 tienen un registro en cero. Se originan en H2. No aparecen en 2026, pero ese tramo viene de otro reporte (H13): no se dan por resueltas.</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2.378 en cada fuente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identificadores de producto cargados dos veces en el maestro, idénticos en todos sus atributos salvo el proveedor. El negocio confirmó que es un error del sistema, no un producto multi-proveedor. Es la causa raíz de H1.</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SKUs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H3</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Ventas registradas con anterioridad a la fecha de apertura declarada de la tienda. El caso extremo (T25) acumula 36 meses previos por $773,4 M.</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Tiendas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11.058 filas · $1.471,7 M · 6 tiendas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Valores negativos imposibles: unidades y monto negativos en simultáneo en Ventas, y stock disponible negativo. Las ventas negativas son devoluciones reales y coinciden una a una con Devoluciones_SKU; el stock negativo es un error de sincronización entre el POS y el sistema de inventario, confirmado por el negocio. En 2026 no aparecen, pero no se dan por resueltos (H13).</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Exactitud,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2.317 y 1.209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H5</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Filas con venta mayor a cero y stock en cero el mismo mes, y filas con venta superior al stock disponible. Es el único hallazgo de consistencia que persiste en 2026.</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1.020 y 5.727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campo de stock en tránsito no se concilia con las transferencias registradas. Las series están correlacionadas (0,89) pero difieren en escala nueve veces.</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Transferencias_Stock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8.771 vs 936 unidades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H7</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90 de las 108 liquidaciones con motivo «Discontinuación» corresponden a SKUs que figuran como Activos. Los 12 registros con «Todas» como tienda son válidos: Casa Óga confirmó que son liquidaciones que aplican a las 28 tiendas, y se tratan así.</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Productos_catalogo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90 de 108</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precio implícito de la venta supera en más de 1,5 veces al precio vigente según el historial en el 33% de las filas (máximo 5,4 veces). Las ventas parecen valuadas con el precio actual y no con el del período. Además, el historial es una reconstrucción retroactiva hecha para el proyecto: el sistema pisa el precio vigente y no guarda historia.</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Historial_Precios_SKU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33% de las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H9</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Descuentos fuera del rango válido: 120%, −10% y 120% en Liquidaciones; 150% y −15% en Promociones. El presupuesto incluye además 3 valores negativos y 309 ceros. El negocio confirmó que los descuentos y los negativos son errores de carga, y los ceros, un proceso de presupuestación todavía inmaduro en 2022.</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Promociones, Presupuesto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Validez,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5 descuentos · 3 negativos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Una fila exactamente duplicada y dos identificadores de promoción repetidos, uno de ellos con dos descuentos distintos. Dos promociones tienen fecha de fin anterior a la de inicio.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ids · 2 fechas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22 SKUs sin costo unitario en el catálogo y 40 vigencias sin costo en el historial. Las órdenes de compra registran costo para los 22, pero no es el mismo concepto: usado tal cual da un margen de 55,3% contra 44,9% del resto. La causa es un circuito de alta sin control: el producto se activa aunque Finanzas no haya cargado el costo.</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Productos_catalogo, Historial_Precios_SKU</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Completitud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22 SKUs · 40 vigencias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Dos fuentes no cubren el período 2026 pese a que Ventas y Stock llegan a agosto: Devoluciones termina en diciembre de 2025 y el catálogo no registra altas desde junio de 2025. Calendario, que también terminaba en 2025, deja de contarse: Casa Óga envía la versión hasta agosto de 2026 y es un dato maestro público.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Devoluciones_SKU, 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Actualidad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fuentes ·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Los datos de 2026 provienen de un reporte consolidado nuevo, con reglas de consolidación no documentadas. La ausencia de duplicados, negativos y devoluciones en ese tramo puede reflejar la consolidación y no una corrección en origen: H1, H4 y H5 no se dan por resueltos en 2026 y los errores de origen siguen sin control. Riesgo para el modelo: parte de la diferencia entre 2025 y 2026 puede deberse al cambio de fuente.</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 Devoluciones_SKU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Trazabilidad, 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60.064 filas de 2026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Crítica</w:t>
            </w:r>
          </w:p>
        </w:tc>
      </w:tr>
    </w:tbl>
    <w:p>
      <w:pPr>
        <w:spacing w:after="70" w:before="180"/>
      </w:pPr>
      <w:r>
        <w:rPr>
          <w:b/>
          <w:bCs/>
          <w:sz w:val="21"/>
          <w:szCs w:val="21"/>
        </w:rPr>
        <w:t xml:space="preserve">Hallazgos resueltos durante la normalización</w:t>
      </w:r>
    </w:p>
    <w:p>
      <w:pPr>
        <w:spacing w:after="110" w:line="276"/>
        <w:jc w:val="both"/>
      </w:pPr>
      <w:r>
        <w:rPr>
          <w:sz w:val="21"/>
          <w:szCs w:val="21"/>
        </w:rPr>
        <w:t xml:space="preserve">Los siguientes hallazgos fueron corregidos al generar los datasets normalizados. La corrección se aplicó sobre la copia de trabajo; el problema sigue presente en los sistemas de origen.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200"/>
        <w:gridCol w:w="18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5"/>
                <w:szCs w:val="15"/>
              </w:rPr>
              <w:t xml:space="preserve">ID</w:t>
            </w:r>
          </w:p>
        </w:tc>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c>
          <w:tcPr>
            <w:tcW w:type="dxa" w:w="3200"/>
            <w:shd w:fill="1F3864" w:color="auto" w:val="clear"/>
            <w:tcMar>
              <w:top w:type="dxa" w:w="50"/>
              <w:left w:type="dxa" w:w="80"/>
              <w:bottom w:type="dxa" w:w="50"/>
              <w:right w:type="dxa" w:w="80"/>
            </w:tcMar>
          </w:tcPr>
          <w:p>
            <w:pPr>
              <w:spacing w:line="240"/>
              <w:jc w:val="left"/>
            </w:pPr>
            <w:r>
              <w:rPr>
                <w:b/>
                <w:bCs/>
                <w:color w:val="FFFFFF"/>
                <w:sz w:val="15"/>
                <w:szCs w:val="15"/>
              </w:rPr>
              <w:t xml:space="preserve">Corrección aplicada</w:t>
            </w:r>
          </w:p>
        </w:tc>
        <w:tc>
          <w:tcPr>
            <w:tcW w:type="dxa" w:w="1800"/>
            <w:shd w:fill="1F3864" w:color="auto" w:val="clear"/>
            <w:tcMar>
              <w:top w:type="dxa" w:w="50"/>
              <w:left w:type="dxa" w:w="80"/>
              <w:bottom w:type="dxa" w:w="50"/>
              <w:right w:type="dxa" w:w="80"/>
            </w:tcMar>
          </w:tcPr>
          <w:p>
            <w:pPr>
              <w:spacing w:line="240"/>
              <w:jc w:val="left"/>
            </w:pPr>
            <w:r>
              <w:rPr>
                <w:b/>
                <w:bCs/>
                <w:color w:val="FFFFFF"/>
                <w:sz w:val="15"/>
                <w:szCs w:val="15"/>
              </w:rPr>
              <w:t xml:space="preserve">Alcance</w:t>
            </w:r>
          </w:p>
        </w:tc>
      </w:tr>
      <w:tr>
        <w:tc>
          <w:tcPr>
            <w:tcW w:type="dxa" w:w="500"/>
            <w:tcMar>
              <w:top w:type="dxa" w:w="50"/>
              <w:left w:type="dxa" w:w="80"/>
              <w:bottom w:type="dxa" w:w="50"/>
              <w:right w:type="dxa" w:w="80"/>
            </w:tcMar>
          </w:tcPr>
          <w:p>
            <w:pPr>
              <w:spacing w:line="240"/>
              <w:jc w:val="left"/>
            </w:pPr>
            <w:r>
              <w:rPr>
                <w:b w:val="false"/>
                <w:bCs w:val="false"/>
                <w:color w:val="000000"/>
                <w:sz w:val="16"/>
                <w:szCs w:val="16"/>
              </w:rPr>
              <w:t xml:space="preserve">R1</w:t>
            </w:r>
          </w:p>
        </w:tc>
        <w:tc>
          <w:tcPr>
            <w:tcW w:type="dxa" w:w="3500"/>
            <w:tcMar>
              <w:top w:type="dxa" w:w="50"/>
              <w:left w:type="dxa" w:w="80"/>
              <w:bottom w:type="dxa" w:w="50"/>
              <w:right w:type="dxa" w:w="80"/>
            </w:tcMar>
          </w:tcPr>
          <w:p>
            <w:pPr>
              <w:spacing w:line="240"/>
              <w:jc w:val="left"/>
            </w:pPr>
            <w:r>
              <w:rPr>
                <w:b w:val="false"/>
                <w:bCs w:val="false"/>
                <w:color w:val="000000"/>
                <w:sz w:val="16"/>
                <w:szCs w:val="16"/>
              </w:rPr>
              <w:t xml:space="preserve">El campo categoría presentaba 11 valores distintos para 7 categorías reales en el catálogo y 10 en Promociones, por variantes de mayúsculas, acentos y separadores.</w:t>
            </w:r>
          </w:p>
        </w:tc>
        <w:tc>
          <w:tcPr>
            <w:tcW w:type="dxa" w:w="3200"/>
            <w:tcMar>
              <w:top w:type="dxa" w:w="50"/>
              <w:left w:type="dxa" w:w="80"/>
              <w:bottom w:type="dxa" w:w="50"/>
              <w:right w:type="dxa" w:w="80"/>
            </w:tcMar>
          </w:tcPr>
          <w:p>
            <w:pPr>
              <w:spacing w:line="240"/>
              <w:jc w:val="left"/>
            </w:pPr>
            <w:r>
              <w:rPr>
                <w:b w:val="false"/>
                <w:bCs w:val="false"/>
                <w:color w:val="000000"/>
                <w:sz w:val="16"/>
                <w:szCs w:val="16"/>
              </w:rPr>
              <w:t xml:space="preserve">Unificación a 7 valores canónicos en todas las fuentes que usan el campo.</w:t>
            </w:r>
          </w:p>
        </w:tc>
        <w:tc>
          <w:tcPr>
            <w:tcW w:type="dxa" w:w="1800"/>
            <w:tcMar>
              <w:top w:type="dxa" w:w="50"/>
              <w:left w:type="dxa" w:w="80"/>
              <w:bottom w:type="dxa" w:w="50"/>
              <w:right w:type="dxa" w:w="80"/>
            </w:tcMar>
          </w:tcPr>
          <w:p>
            <w:pPr>
              <w:spacing w:line="240"/>
              <w:jc w:val="left"/>
            </w:pPr>
            <w:r>
              <w:rPr>
                <w:b w:val="false"/>
                <w:bCs w:val="false"/>
                <w:color w:val="000000"/>
                <w:sz w:val="16"/>
                <w:szCs w:val="16"/>
              </w:rPr>
              <w:t xml:space="preserve">2.712 celdas normalizadas</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R2</w:t>
            </w:r>
          </w:p>
        </w:tc>
        <w:tc>
          <w:tcPr>
            <w:tcW w:type="dxa" w:w="3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 de Liquidaciones tenían la fecha de fin en formato «AAAA-MM-DD 00:00:00» en lugar de «AAAA-MM-DD». Eran fechas válidas, no ilegibles.</w:t>
            </w:r>
          </w:p>
        </w:tc>
        <w:tc>
          <w:tcPr>
            <w:tcW w:type="dxa" w:w="32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Conversión al formato estándar, sin pérdida de información.</w:t>
            </w:r>
          </w:p>
        </w:tc>
        <w:tc>
          <w:tcPr>
            <w:tcW w:type="dxa" w:w="18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w:t>
            </w:r>
          </w:p>
        </w:tc>
      </w:tr>
    </w:tbl>
    <w:p>
      <w:pPr>
        <w:spacing w:after="70" w:before="180"/>
      </w:pPr>
      <w:r>
        <w:rPr>
          <w:b/>
          <w:bCs/>
          <w:sz w:val="21"/>
          <w:szCs w:val="21"/>
        </w:rPr>
        <w:t xml:space="preserve">Gaps de información</w:t>
      </w:r>
    </w:p>
    <w:p>
      <w:pPr>
        <w:spacing w:after="110" w:line="276"/>
        <w:jc w:val="both"/>
      </w:pPr>
      <w:r>
        <w:rPr>
          <w:sz w:val="21"/>
          <w:szCs w:val="21"/>
        </w:rPr>
        <w:t xml:space="preserve">Además de los errores en los datos existentes, se identifican vacíos que limitan el alcance del análisis:</w:t>
      </w:r>
    </w:p>
    <w:p>
      <w:pPr>
        <w:pStyle w:val="ListParagraph"/>
        <w:numPr>
          <w:ilvl w:val="0"/>
          <w:numId w:val="2"/>
        </w:numPr>
        <w:spacing w:after="60" w:line="264"/>
        <w:jc w:val="both"/>
      </w:pPr>
      <w:r>
        <w:rPr>
          <w:sz w:val="21"/>
          <w:szCs w:val="21"/>
        </w:rPr>
        <w:t xml:space="preserve">No existe información a nivel de transacción: la granularidad mínima es mensual por SKU y tienda. No se pueden calcular métricas de ticket ni de canasta de compra.</w:t>
      </w:r>
    </w:p>
    <w:p>
      <w:pPr>
        <w:pStyle w:val="ListParagraph"/>
        <w:numPr>
          <w:ilvl w:val="0"/>
          <w:numId w:val="2"/>
        </w:numPr>
        <w:spacing w:after="60" w:line="264"/>
        <w:jc w:val="both"/>
      </w:pPr>
      <w:r>
        <w:rPr>
          <w:sz w:val="21"/>
          <w:szCs w:val="21"/>
        </w:rPr>
        <w:t xml:space="preserve">No hay datos identificados de cliente en ninguna de las 15 fuentes, lo que impide abordar el frente de fidelización.</w:t>
      </w:r>
    </w:p>
    <w:p>
      <w:pPr>
        <w:pStyle w:val="ListParagraph"/>
        <w:numPr>
          <w:ilvl w:val="0"/>
          <w:numId w:val="2"/>
        </w:numPr>
        <w:spacing w:after="60" w:line="264"/>
        <w:jc w:val="both"/>
      </w:pPr>
      <w:r>
        <w:rPr>
          <w:sz w:val="21"/>
          <w:szCs w:val="21"/>
        </w:rPr>
        <w:t xml:space="preserve">El campo de stock en tránsito no tiene definición documentada, por lo que no puede determinarse si debe computarse como stock disponible.</w:t>
      </w:r>
    </w:p>
    <w:p>
      <w:pPr>
        <w:pStyle w:val="ListParagraph"/>
        <w:numPr>
          <w:ilvl w:val="0"/>
          <w:numId w:val="2"/>
        </w:numPr>
        <w:spacing w:after="60" w:line="264"/>
        <w:jc w:val="both"/>
      </w:pPr>
      <w:r>
        <w:rPr>
          <w:sz w:val="21"/>
          <w:szCs w:val="21"/>
        </w:rPr>
        <w:t xml:space="preserve">No existe un diccionario de datos ni un responsable formal del dato maestro de producto. El responsable de IT a cargo de los sistemas renunció sin dejar documentación, por lo que tampoco hay una definición formal de qué incluye el costo unitario.</w:t>
      </w:r>
    </w:p>
    <w:p>
      <w:pPr>
        <w:pStyle w:val="ListParagraph"/>
        <w:numPr>
          <w:ilvl w:val="0"/>
          <w:numId w:val="2"/>
        </w:numPr>
        <w:spacing w:after="60" w:line="264"/>
        <w:jc w:val="both"/>
      </w:pPr>
      <w:r>
        <w:rPr>
          <w:sz w:val="21"/>
          <w:szCs w:val="21"/>
        </w:rPr>
        <w:t xml:space="preserve">No hay registro de auditoría ni política de retención, lo que limita la trazabilidad en todas las fuentes transaccionales.</w:t>
      </w:r>
    </w:p>
    <w:p>
      <w:pPr>
        <w:pStyle w:val="ListParagraph"/>
        <w:numPr>
          <w:ilvl w:val="0"/>
          <w:numId w:val="2"/>
        </w:numPr>
        <w:spacing w:after="60" w:line="264"/>
        <w:jc w:val="both"/>
      </w:pPr>
      <w:r>
        <w:rPr>
          <w:sz w:val="21"/>
          <w:szCs w:val="21"/>
        </w:rPr>
        <w:t xml:space="preserve">El canal de comercio electrónico no está representado: el análisis cubre únicamente las 28 tiendas físicas.</w:t>
      </w:r>
    </w:p>
    <w:p>
      <w:pPr>
        <w:spacing w:after="70" w:before="180"/>
      </w:pPr>
      <w:r>
        <w:rPr>
          <w:b/>
          <w:bCs/>
          <w:sz w:val="21"/>
          <w:szCs w:val="21"/>
        </w:rPr>
        <w:t xml:space="preserve">Mapa de calidad de datos</w:t>
      </w:r>
    </w:p>
    <w:p>
      <w:pPr>
        <w:spacing w:after="110" w:line="276"/>
        <w:jc w:val="both"/>
      </w:pPr>
      <w:r>
        <w:rPr>
          <w:sz w:val="21"/>
          <w:szCs w:val="21"/>
        </w:rPr>
        <w:t xml:space="preserve">Evaluación de las 15 fuentes según las siete dimensiones, después de la normalización y de las respuestas del negocio. Verde: no se detectó ningún problema. Amarillo: el problema existe pero no cambia ningún resultado (pocos registros que se excluyen, un campo que no se usa o una corrección mecánica). Rojo: sin tratarlo cambia un KPI, el target o una variable del modelo, o usar el dato exige un supuesto o la confirmación del negocio. El criterio es el impacto en el uso, no la cantidad de errores.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110" w:line="276"/>
        <w:jc w:val="both"/>
      </w:pPr>
      <w:r>
        <w:rPr>
          <w:i/>
          <w:iCs/>
          <w:color w:val="808080"/>
          <w:sz w:val="21"/>
          <w:szCs w:val="21"/>
        </w:rPr>
        <w:t xml:space="preserve">Respecto de la evaluación de la Parte A, mejora la consistencia de Productos_catalogo y Promociones por la unificación de categorías, que se resolvió en la normalización. La consistencia del presupuesto baja de rojo a amarillo porque el negocio explicó las celdas en cero y negativas y se excluyen del análisis; sigue abierta la uniformidad del cumplimiento, que no cambia ningún resultado. El resto coincide con la Parte A: las ventas negativas quedan en rojo porque netearlas mueve la prevalencia del target de 2,6% a 3,2%, y la completitud del catálogo porque el costo de 22 SKUs depende de un supuesto declarado.</w:t>
      </w:r>
    </w:p>
    <w:p>
      <w:pPr>
        <w:spacing w:after="110" w:line="276"/>
        <w:jc w:val="both"/>
      </w:pPr>
      <w:r>
        <w:rPr>
          <w:i/>
          <w:iCs/>
          <w:color w:val="808080"/>
          <w:sz w:val="21"/>
          <w:szCs w:val="21"/>
        </w:rPr>
        <w:t xml:space="preserve">Después de la respuesta de Casa Óga cambian tres calificaciones, en este mapa y en el de la Parte A cuando corresponde. La actualidad de Calendario baja de rojo a amarillo: es un dato maestro público que puede completarse sin información de la empresa, y Casa Óga confirmó el envío de la versión hasta agosto de 2026. La trazabilidad de Ventas y Stock sube de amarillo a rojo: el tramo 2026 proviene de un reporte consolidado nuevo cuyas reglas no están documentadas (H13). En Liquidaciones, «Todas» deja de contarse como error; la consistencia sigue en rojo por las 90 liquidaciones por discontinuación sobre SKUs activos.</w:t>
      </w:r>
    </w:p>
    <w:p>
      <w:pPr>
        <w:pStyle w:val="Heading2"/>
        <w:spacing w:after="90" w:before="220"/>
      </w:pPr>
      <w:r>
        <w:rPr>
          <w:b/>
          <w:bCs/>
          <w:color w:val="C0504D"/>
          <w:sz w:val="22"/>
          <w:szCs w:val="22"/>
        </w:rPr>
        <w:t xml:space="preserve">1.2 Plan de mejora de Calidad</w:t>
      </w:r>
    </w:p>
    <w:p>
      <w:pPr>
        <w:spacing w:after="110" w:line="276"/>
        <w:jc w:val="both"/>
      </w:pPr>
      <w:r>
        <w:rPr>
          <w:sz w:val="21"/>
          <w:szCs w:val="21"/>
        </w:rPr>
        <w:t xml:space="preserve">Para cada hallazgo se define la acción de remediación, si la corrección debe aplicarse en el sistema de origen de Casa Óga o alcanza con resolverla en el pipeline del proyecto, el responsable sugerido y un plazo estimado. Los responsables deben validarse con el cliente.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32"/>
        <w:gridCol w:w="3121"/>
        <w:gridCol w:w="986"/>
        <w:gridCol w:w="1561"/>
        <w:gridCol w:w="1500"/>
      </w:tblGrid>
      <w:tr>
        <w:trPr>
          <w:tblHeader/>
        </w:trPr>
        <w:tc>
          <w:tcPr>
            <w:tcW w:type="dxa" w:w="1232"/>
            <w:shd w:fill="1F3864" w:color="auto" w:val="clear"/>
            <w:tcMar>
              <w:top w:type="dxa" w:w="50"/>
              <w:left w:type="dxa" w:w="80"/>
              <w:bottom w:type="dxa" w:w="50"/>
              <w:right w:type="dxa" w:w="80"/>
            </w:tcMar>
          </w:tcPr>
          <w:p>
            <w:pPr>
              <w:spacing w:line="240"/>
              <w:jc w:val="left"/>
            </w:pPr>
            <w:r>
              <w:rPr>
                <w:b/>
                <w:bCs/>
                <w:color w:val="FFFFFF"/>
                <w:sz w:val="14"/>
                <w:szCs w:val="14"/>
              </w:rPr>
              <w:t xml:space="preserve">Issue de Calidad</w:t>
            </w:r>
          </w:p>
        </w:tc>
        <w:tc>
          <w:tcPr>
            <w:tcW w:type="dxa" w:w="3121"/>
            <w:shd w:fill="1F3864" w:color="auto" w:val="clear"/>
            <w:tcMar>
              <w:top w:type="dxa" w:w="50"/>
              <w:left w:type="dxa" w:w="80"/>
              <w:bottom w:type="dxa" w:w="50"/>
              <w:right w:type="dxa" w:w="80"/>
            </w:tcMar>
          </w:tcPr>
          <w:p>
            <w:pPr>
              <w:spacing w:line="240"/>
              <w:jc w:val="left"/>
            </w:pPr>
            <w:r>
              <w:rPr>
                <w:b/>
                <w:bCs/>
                <w:color w:val="FFFFFF"/>
                <w:sz w:val="14"/>
                <w:szCs w:val="14"/>
              </w:rPr>
              <w:t xml:space="preserve">Acción de Mejora</w:t>
            </w:r>
          </w:p>
        </w:tc>
        <w:tc>
          <w:tcPr>
            <w:tcW w:type="dxa" w:w="986"/>
            <w:shd w:fill="1F3864" w:color="auto" w:val="clear"/>
            <w:tcMar>
              <w:top w:type="dxa" w:w="50"/>
              <w:left w:type="dxa" w:w="80"/>
              <w:bottom w:type="dxa" w:w="50"/>
              <w:right w:type="dxa" w:w="80"/>
            </w:tcMar>
          </w:tcPr>
          <w:p>
            <w:pPr>
              <w:spacing w:line="240"/>
              <w:jc w:val="left"/>
            </w:pPr>
            <w:r>
              <w:rPr>
                <w:b/>
                <w:bCs/>
                <w:color w:val="FFFFFF"/>
                <w:sz w:val="14"/>
                <w:szCs w:val="14"/>
              </w:rPr>
              <w:t xml:space="preserve">Impacta en Origen</w:t>
            </w:r>
          </w:p>
        </w:tc>
        <w:tc>
          <w:tcPr>
            <w:tcW w:type="dxa" w:w="1561"/>
            <w:shd w:fill="1F3864" w:color="auto" w:val="clear"/>
            <w:tcMar>
              <w:top w:type="dxa" w:w="50"/>
              <w:left w:type="dxa" w:w="80"/>
              <w:bottom w:type="dxa" w:w="50"/>
              <w:right w:type="dxa" w:w="80"/>
            </w:tcMar>
          </w:tcPr>
          <w:p>
            <w:pPr>
              <w:spacing w:line="240"/>
              <w:jc w:val="left"/>
            </w:pPr>
            <w:r>
              <w:rPr>
                <w:b/>
                <w:bCs/>
                <w:color w:val="FFFFFF"/>
                <w:sz w:val="14"/>
                <w:szCs w:val="14"/>
              </w:rPr>
              <w:t xml:space="preserve">Responsable</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Plazo estimado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 · Claves duplicadas en Ventas y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Deduplicar por clave conservando el registro con venta real o de mayor venta, como sugirió Casa Óga (P4 del relevamiento); en Stock se conserva el registro del mismo origen, que está en la misma fila que la venta elegida. Frente a la regla anterior (primera ocurrencia), cambia el registro elegido en 600 de las 2.330 claves con dos registros de venta (115 tenían la primera ocurrencia en cero), suma 2.403 unidades y $81,5 M al período (+0,2%) y baja los positivos del target de 6.853 a 6.819 (−34, todos de los 15 SKUs duplicados). La solución definitiva depende de H2 y de que Sistemas confirme el origen de los registros.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(con 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 junto con H2</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 · SKUs duplicados en el maestro</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negocio confirmó que es un error del sistema y lo está revisando con Compras caso por caso. En el proyecto se toma el costo único del catálogo, sin desagregar por proveedor. En origen: definir la clave única del maestro de producto e incorporar una restricción de unicidad en el alta.</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(revisión caso por caso en curso)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H3 · Ventas antes de la apertura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Auditar las seis tiendas y determinar si el error está en la fecha de apertura declarada o en la asignación de las ventas. Hasta resolverlo, excluir la antigüedad de tienda como variable de análisis.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Operaciones y Sistemas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 (auditoría de 6 tiendas)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 · Valores negativos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negativo: llevarlo a 0 en todo cálculo de cobertura y dead stock, porque es un error de sincronización y no información real. Ventas negativas: netearlas contra la venta del mismo SKU-tienda-mes para calcular el ritmo de venta, salvo el motivo «sin rotación / no vendido» (471 devoluciones, 2.013 unidades), que es devolución al proveedor y se trata como movimiento de inventario (P18-P19). En origen: registrar la devolución como movimiento propio, separando la devolución a proveedor (movimiento de inventario) de la de cliente, y agregar un control que impida descontar stock todavía no cargado.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y Ventas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Pipeline: aplicado. Origen: 3 a 6 meses</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H5 · Venta sin stock o mayor al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Tratarlo con la misma causa confirmada para el stock negativo: falta de sincronización entre el punto de venta y el sistema de inventario. Documentar además en qué momento del mes se informa el stock, porque un corte a fin de mes explicaría parte de los casos.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e Inventario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a 6 meses, junto con H4</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 · Stock en tránsito sin conciliar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 definición operativa del campo y establecer la regla de conciliación con transferencias y con órdenes de compra pendientes de recepción. Definir si debe computarse como stock disponible.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e Inventario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para documentar; 3 meses para conciliar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H7 · Liquidaciones incoherentes</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Incorporar una validación que impida registrar motivo «Discontinuación» sobre un SKU activo.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 · Precio de venta vs. historial</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No usar el historial para revaluar ventas: es una reconstrucción retroactiva, no un registro del sistema. Usar el precio de lista del catálogo, que es la fuente maestra. Para comparar montos entre años, no deflactar la venta por IPC, porque ya está valuada aproximadamente al precio actual; comparar en unidades. En origen: guardar un registro histórico de precios en lugar de pisar el valor vigente.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Contable y proveedor del POS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 meses o más (cambio de sistema)</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H9 · Descuentos fuera de rango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Excluir los cinco descuentos del cálculo de margen, por ser errores de carga (rangos de referencia: 10%-50% en liquidaciones y 5%-40% en promociones). Excluir del desvío contra presupuesto los 309 ceros de ene-may 2022 y los 3 negativos. En origen: validación de rango al cargar descuentos, que hoy no existe.</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 y Financiera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 · Promociones duplicadas e inválidas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Aplicar una restricción de unicidad sobre el identificador de promoción y una validación de coherencia entre fecha de inicio y de fin.</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 del sistema de promociones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(depende del proveedor)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H11 · Faltantes de costo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Usar el costo de la orden de compra ajustado por un factor de 1,2321, que nivela el margen de estos 22 SKUs con el 44,9% del resto del catálogo. En origen: impedir que un producto quede activo sin costo cargado y documentar qué incluye el costo unitario.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(supuesto).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 · Fuentes sin cobertura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Solicitar la extensión de Devoluciones y Productos_catalogo hasta agosto de 2026, para alinearlas con Ventas y Stock. Mientras tanto, declarar la limitación en todo análisis del período.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Referente de datos designado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Reglas del reporte nuevo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las reglas de consolidación del reporte nuevo: qué netea (devoluciones), qué lleva a cero (stock negativo), cómo resuelve claves repetidas y desde qué mes rige. Sin esa documentación no se puede saber si un error desapareció o quedó oculto.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(con Sistemas)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antes del Entregable 3</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Extracto de control sin consolidar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Mantener, después del go-live del reporte nuevo, un extracto mensual sin consolidar con el mismo formato que 2022-2025, para seguir midiendo claves duplicadas, stock negativo y devoluciones. Publicar los tres indicadores junto con el reporte: es el control en origen que permite verificar que los errores estén resueltos y no tapados.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(con Operaciones)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Mensual, desde el go-live</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R1 · Variantes de categoría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unificación a 7 valores canónicos. Pendiente en origen: definir una tabla maestra de categorías única para todos los sistemas.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R2 · Formato mixto de fecha</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conversión al formato estándar. Pendiente en origen: unificar el formato de fecha en el sistema de liquidaciones.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bl>
    <w:p>
      <w:pPr>
        <w:spacing w:after="110" w:line="276"/>
        <w:jc w:val="both"/>
      </w:pPr>
      <w:r>
        <w:rPr>
          <w:sz w:val="21"/>
          <w:szCs w:val="21"/>
        </w:rPr>
        <w:t xml:space="preserve">Las acciones sobre H1 a H8 condicionan la confiabilidad de las métricas centrales del proyecto y deberían resolverse antes de construir el dataset de entrenamiento. H9 a H12 pueden ejecutarse en paralelo. En todos los casos la corrección impacta en el sistema de origen: las remediaciones aplicadas en el pipeline del proyecto son provisorias y no evitan que el problema se vuelva a generar.</w:t>
      </w:r>
    </w:p>
    <w:p>
      <w:pPr>
        <w:spacing w:after="110" w:line="276"/>
        <w:jc w:val="both"/>
      </w:pPr>
      <w:r>
        <w:rPr>
          <w:sz w:val="21"/>
          <w:szCs w:val="21"/>
        </w:rPr>
        <w:t xml:space="preserve">Las acciones de H13 responden a la preocupación de Casa Óga sobre el reporte de 2026: si el reporte nuevo consolida los errores, sin la documentación de sus reglas y sin un extracto de control se los daría por resueltos sin estarlo. Los plazos son estimaciones del equipo y deben validarse con cada área responsable.</w:t>
      </w:r>
    </w:p>
    <w:p>
      <w:pPr>
        <w:spacing w:after="70" w:before="180"/>
      </w:pPr>
      <w:r>
        <w:rPr>
          <w:b/>
          <w:bCs/>
          <w:sz w:val="21"/>
          <w:szCs w:val="21"/>
        </w:rPr>
        <w:t xml:space="preserve">Supuesto declarado: costo de los 22 SKUs sin costo en catálogo</w:t>
      </w:r>
    </w:p>
    <w:p>
      <w:pPr>
        <w:spacing w:after="110" w:line="276"/>
        <w:jc w:val="both"/>
      </w:pPr>
      <w:r>
        <w:rPr>
          <w:sz w:val="21"/>
          <w:szCs w:val="21"/>
        </w:rPr>
        <w:t xml:space="preserve">El factor de ajuste no es un dato del negocio: es un supuesto calculado por el equipo, siguiendo el criterio indicado por Casa Óga. Se compara la relación costo / precio de lista de los 22 SKUs, tomando el costo de sus órdenes de compra ponderado por unidades (0,4471), contra la misma relación en el resto del catálogo con su costo de catálogo (0,5509). El cociente, 1,2321, es el factor que lleva el margen de esos productos de 55,3% a 44,9%. El resultado es estable ante el criterio de agregación: con la mediana de las órdenes de compra el factor es 1,2307.</w:t>
      </w:r>
    </w:p>
    <w:p>
      <w:pPr>
        <w:spacing w:after="110" w:line="276"/>
        <w:jc w:val="both"/>
      </w:pPr>
      <w:r>
        <w:rPr>
          <w:sz w:val="21"/>
          <w:szCs w:val="21"/>
        </w:rPr>
        <w:t xml:space="preserve">Con este supuesto, el stock de los 22 SKUs a agosto de 2026 (2.338 unidades) se valúa en $72,3 M, contra $58,7 M si se usara el costo de la orden sin ajustar. Sin el ajuste, el capital inmovilizado quedaría subestimado y el margen sobreestimado para estos productos. El supuesto se reemplazará por el costo definitivo cuando Finanzas lo confirme.</w:t>
      </w:r>
    </w:p>
    <w:p>
      <w:pPr>
        <w:spacing w:after="70" w:before="180"/>
      </w:pPr>
      <w:r>
        <w:rPr>
          <w:b/>
          <w:bCs/>
          <w:sz w:val="21"/>
          <w:szCs w:val="21"/>
        </w:rPr>
        <w:t xml:space="preserve">Sugerencias solicitadas por el negocio para la implementación definitiva</w:t>
      </w:r>
    </w:p>
    <w:p>
      <w:pPr>
        <w:pStyle w:val="ListParagraph"/>
        <w:numPr>
          <w:ilvl w:val="0"/>
          <w:numId w:val="2"/>
        </w:numPr>
        <w:spacing w:after="60" w:line="264"/>
        <w:jc w:val="both"/>
      </w:pPr>
      <w:r>
        <w:rPr>
          <w:sz w:val="21"/>
          <w:szCs w:val="21"/>
        </w:rPr>
        <w:t xml:space="preserve">Que el alta de un producto no pueda quedar activa sin costo cargado, mediante un control bloqueante o un estado intermedio de «pendiente de costo».</w:t>
      </w:r>
    </w:p>
    <w:p>
      <w:pPr>
        <w:pStyle w:val="ListParagraph"/>
        <w:numPr>
          <w:ilvl w:val="0"/>
          <w:numId w:val="2"/>
        </w:numPr>
        <w:spacing w:after="60" w:line="264"/>
        <w:jc w:val="both"/>
      </w:pPr>
      <w:r>
        <w:rPr>
          <w:sz w:val="21"/>
          <w:szCs w:val="21"/>
        </w:rPr>
        <w:t xml:space="preserve">Que el costo unitario del catálogo tenga una definición documentada: qué componentes incluye y cómo se relaciona con el costo de la orden de compra.</w:t>
      </w:r>
    </w:p>
    <w:p>
      <w:pPr>
        <w:pStyle w:val="ListParagraph"/>
        <w:numPr>
          <w:ilvl w:val="0"/>
          <w:numId w:val="2"/>
        </w:numPr>
        <w:spacing w:after="60" w:line="264"/>
        <w:jc w:val="both"/>
      </w:pPr>
      <w:r>
        <w:rPr>
          <w:sz w:val="21"/>
          <w:szCs w:val="21"/>
        </w:rPr>
        <w:t xml:space="preserve">Que el modelo, una vez en producción, excluya o marque los productos sin costo en lugar de imputarlos, para que la valorización del capital inmovilizado no dependa de un supuesto.</w:t>
      </w:r>
    </w:p>
    <w:p>
      <w:pPr>
        <w:pStyle w:val="Heading2"/>
        <w:spacing w:after="90" w:before="220"/>
      </w:pPr>
      <w:r>
        <w:rPr>
          <w:b/>
          <w:bCs/>
          <w:color w:val="C0504D"/>
          <w:sz w:val="22"/>
          <w:szCs w:val="22"/>
        </w:rPr>
        <w:t xml:space="preserve">1.3 Dashboard: Datos Antes y Después de la Corrección de Calidad</w:t>
      </w:r>
    </w:p>
    <w:p>
      <w:pPr>
        <w:spacing w:after="110" w:line="276"/>
        <w:jc w:val="both"/>
      </w:pPr>
      <w:r>
        <w:rPr>
          <w:sz w:val="21"/>
          <w:szCs w:val="21"/>
        </w:rPr>
        <w:t xml:space="preserve">El dashboard (Dashboard-Calidad-Antes-Despues.html, generado por EDA/antes_despues.py) calcula cada métrica dos veces. Antes: los datasets crudos, tal como los entrega Casa Óga, con el cálculo que haría un análisis sin revisión de calidad (se suman las claves duplicadas, se conservan los negativos, los SKUs sin costo valen cero y las categorías se usan como vienen). Después: los datasets normalizados con los criterios del plan de mejora de la sección 1.2.</w:t>
      </w:r>
    </w:p>
    <w:p>
      <w:pPr>
        <w:spacing w:after="110" w:line="276"/>
        <w:jc w:val="both"/>
      </w:pPr>
      <w:r>
        <w:rPr>
          <w:sz w:val="21"/>
          <w:szCs w:val="21"/>
        </w:rPr>
        <w:t xml:space="preserve"/>
      </w:r>
      <w:r>
        <w:drawing>
          <wp:inline xmlns:a="http://schemas.openxmlformats.org/drawingml/2006/main" xmlns:pic="http://schemas.openxmlformats.org/drawingml/2006/picture">
            <wp:extent cx="5760000" cy="3770182"/>
            <wp:docPr id="1" name="Picture 1"/>
            <wp:cNvGraphicFramePr>
              <a:graphicFrameLocks noChangeAspect="1"/>
            </wp:cNvGraphicFramePr>
            <a:graphic>
              <a:graphicData uri="http://schemas.openxmlformats.org/drawingml/2006/picture">
                <pic:pic>
                  <pic:nvPicPr>
                    <pic:cNvPr id="0" name="13_antes_despues.png"/>
                    <pic:cNvPicPr/>
                  </pic:nvPicPr>
                  <pic:blipFill>
                    <a:blip r:embed="rId10"/>
                    <a:stretch>
                      <a:fillRect/>
                    </a:stretch>
                  </pic:blipFill>
                  <pic:spPr>
                    <a:xfrm>
                      <a:off x="0" y="0"/>
                      <a:ext cx="5760000" cy="3770182"/>
                    </a:xfrm>
                    <a:prstGeom prst="rect"/>
                  </pic:spPr>
                </pic:pic>
              </a:graphicData>
            </a:graphic>
          </wp:inline>
        </w:drawing>
      </w:r>
    </w:p>
    <w:p>
      <w:pPr>
        <w:spacing w:after="110" w:line="276"/>
        <w:jc w:val="both"/>
      </w:pPr>
      <w:r>
        <w:rPr>
          <w:color w:val="595959"/>
          <w:sz w:val="18"/>
          <w:szCs w:val="18"/>
        </w:rPr>
        <w:t xml:space="preserve">Figura 1.3 · Venta anual, capital inmovilizado y venta por categoría, antes y después de la corrección.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Métrica / gráfico comparado</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ANTES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DESPUÉS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Impacto / conclusión</w:t>
            </w:r>
          </w:p>
        </w:tc>
      </w:tr>
      <w:tr>
        <w:tc>
          <w:tcPr>
            <w:tcW w:type="dxa" w:w="2400"/>
            <w:tcMar>
              <w:top w:type="dxa" w:w="50"/>
              <w:left w:type="dxa" w:w="80"/>
              <w:bottom w:type="dxa" w:w="50"/>
              <w:right w:type="dxa" w:w="80"/>
            </w:tcMar>
          </w:tcPr>
          <w:p>
            <w:pPr>
              <w:spacing w:line="240"/>
              <w:jc w:val="left"/>
            </w:pPr>
            <w:r>
              <w:rPr>
                <w:color w:val="000000"/>
                <w:sz w:val="15"/>
                <w:szCs w:val="15"/>
              </w:rPr>
              <w:t xml:space="preserve">Registros de venta (mes · tienda · SKU)</w:t>
            </w:r>
          </w:p>
        </w:tc>
        <w:tc>
          <w:tcPr>
            <w:tcW w:type="dxa" w:w="2200"/>
            <w:tcMar>
              <w:top w:type="dxa" w:w="50"/>
              <w:left w:type="dxa" w:w="80"/>
              <w:bottom w:type="dxa" w:w="50"/>
              <w:right w:type="dxa" w:w="80"/>
            </w:tcMar>
          </w:tcPr>
          <w:p>
            <w:pPr>
              <w:spacing w:line="240"/>
              <w:jc w:val="left"/>
            </w:pPr>
            <w:r>
              <w:rPr>
                <w:color w:val="000000"/>
                <w:sz w:val="15"/>
                <w:szCs w:val="15"/>
              </w:rPr>
              <w:t xml:space="preserve">299.400</w:t>
            </w:r>
          </w:p>
        </w:tc>
        <w:tc>
          <w:tcPr>
            <w:tcW w:type="dxa" w:w="2200"/>
            <w:tcMar>
              <w:top w:type="dxa" w:w="50"/>
              <w:left w:type="dxa" w:w="80"/>
              <w:bottom w:type="dxa" w:w="50"/>
              <w:right w:type="dxa" w:w="80"/>
            </w:tcMar>
          </w:tcPr>
          <w:p>
            <w:pPr>
              <w:spacing w:line="240"/>
              <w:jc w:val="left"/>
            </w:pPr>
            <w:r>
              <w:rPr>
                <w:color w:val="000000"/>
                <w:sz w:val="15"/>
                <w:szCs w:val="15"/>
              </w:rPr>
              <w:t xml:space="preserve">297.022</w:t>
            </w:r>
          </w:p>
        </w:tc>
        <w:tc>
          <w:tcPr>
            <w:tcW w:type="dxa" w:w="2200"/>
            <w:tcMar>
              <w:top w:type="dxa" w:w="50"/>
              <w:left w:type="dxa" w:w="80"/>
              <w:bottom w:type="dxa" w:w="50"/>
              <w:right w:type="dxa" w:w="80"/>
            </w:tcMar>
          </w:tcPr>
          <w:p>
            <w:pPr>
              <w:spacing w:line="240"/>
              <w:jc w:val="left"/>
            </w:pPr>
            <w:r>
              <w:rPr>
                <w:color w:val="000000"/>
                <w:sz w:val="15"/>
                <w:szCs w:val="15"/>
              </w:rPr>
              <w:t xml:space="preserve">Las 2.378 claves duplicadas (H1) se reducen a un registro por clave. Sin corregir, cada posición de los 15 SKUs duplicados cuenta dos veces en ventas y en stock.</w:t>
            </w:r>
          </w:p>
        </w:tc>
      </w:tr>
      <w:tr>
        <w:tc>
          <w:tcPr>
            <w:tcW w:type="dxa" w:w="2400"/>
            <w:shd w:fill="F2F2F2" w:color="auto" w:val="clear"/>
            <w:tcMar>
              <w:top w:type="dxa" w:w="50"/>
              <w:left w:type="dxa" w:w="80"/>
              <w:bottom w:type="dxa" w:w="50"/>
              <w:right w:type="dxa" w:w="80"/>
            </w:tcMar>
          </w:tcPr>
          <w:p>
            <w:pPr>
              <w:spacing w:line="240"/>
              <w:jc w:val="left"/>
            </w:pPr>
            <w:r>
              <w:rPr>
                <w:color w:val="000000"/>
                <w:sz w:val="15"/>
                <w:szCs w:val="15"/>
              </w:rPr>
              <w:t xml:space="preserve">Venta total ene-2022 a ago-2026 · unidades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$40.314,3 M · 930.410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$40.254,7 M · 929.431</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−0,1%. Los duplicados inflan la venta; las devoluciones de clientes quedan neteadas contra la venta del mismo mes y las devoluciones al proveedor por «sin rotación» no se restan. El impacto en el total es bajo, pero se concentra en los 15 SKUs duplicados.</w:t>
            </w:r>
          </w:p>
        </w:tc>
      </w:tr>
      <w:tr>
        <w:tc>
          <w:tcPr>
            <w:tcW w:type="dxa" w:w="2400"/>
            <w:tcMar>
              <w:top w:type="dxa" w:w="50"/>
              <w:left w:type="dxa" w:w="80"/>
              <w:bottom w:type="dxa" w:w="50"/>
              <w:right w:type="dxa" w:w="80"/>
            </w:tcMar>
          </w:tcPr>
          <w:p>
            <w:pPr>
              <w:spacing w:line="240"/>
              <w:jc w:val="left"/>
            </w:pPr>
            <w:r>
              <w:rPr>
                <w:color w:val="000000"/>
                <w:sz w:val="15"/>
                <w:szCs w:val="15"/>
              </w:rPr>
              <w:t xml:space="preserve">Filas con stock disponible negativo</w:t>
            </w:r>
          </w:p>
        </w:tc>
        <w:tc>
          <w:tcPr>
            <w:tcW w:type="dxa" w:w="2200"/>
            <w:tcMar>
              <w:top w:type="dxa" w:w="50"/>
              <w:left w:type="dxa" w:w="80"/>
              <w:bottom w:type="dxa" w:w="50"/>
              <w:right w:type="dxa" w:w="80"/>
            </w:tcMar>
          </w:tcPr>
          <w:p>
            <w:pPr>
              <w:spacing w:line="240"/>
              <w:jc w:val="left"/>
            </w:pPr>
            <w:r>
              <w:rPr>
                <w:color w:val="000000"/>
                <w:sz w:val="15"/>
                <w:szCs w:val="15"/>
              </w:rPr>
              <w:t xml:space="preserve">1.209</w:t>
            </w:r>
          </w:p>
        </w:tc>
        <w:tc>
          <w:tcPr>
            <w:tcW w:type="dxa" w:w="2200"/>
            <w:tcMar>
              <w:top w:type="dxa" w:w="50"/>
              <w:left w:type="dxa" w:w="80"/>
              <w:bottom w:type="dxa" w:w="50"/>
              <w:right w:type="dxa" w:w="80"/>
            </w:tcMar>
          </w:tcPr>
          <w:p>
            <w:pPr>
              <w:spacing w:line="240"/>
              <w:jc w:val="left"/>
            </w:pPr>
            <w:r>
              <w:rPr>
                <w:color w:val="000000"/>
                <w:sz w:val="15"/>
                <w:szCs w:val="15"/>
              </w:rPr>
              <w:t xml:space="preserve">0</w:t>
            </w:r>
          </w:p>
        </w:tc>
        <w:tc>
          <w:tcPr>
            <w:tcW w:type="dxa" w:w="2200"/>
            <w:tcMar>
              <w:top w:type="dxa" w:w="50"/>
              <w:left w:type="dxa" w:w="80"/>
              <w:bottom w:type="dxa" w:w="50"/>
              <w:right w:type="dxa" w:w="80"/>
            </w:tcMar>
          </w:tcPr>
          <w:p>
            <w:pPr>
              <w:spacing w:line="240"/>
              <w:jc w:val="left"/>
            </w:pPr>
            <w:r>
              <w:rPr>
                <w:color w:val="000000"/>
                <w:sz w:val="15"/>
                <w:szCs w:val="15"/>
              </w:rPr>
              <w:t xml:space="preserve">Error de sincronización POS–inventario (P14): piso en 0. Sin corregir, el stock negativo baja la cobertura de la posición y la saca artificialmente del riesgo.</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dic-2025 (a costo)</w:t>
            </w:r>
          </w:p>
        </w:tc>
        <w:tc>
          <w:tcPr>
            <w:tcW w:type="dxa" w:w="2200"/>
            <w:tcMar>
              <w:top w:type="dxa" w:w="50"/>
              <w:left w:type="dxa" w:w="80"/>
              <w:bottom w:type="dxa" w:w="50"/>
              <w:right w:type="dxa" w:w="80"/>
            </w:tcMar>
          </w:tcPr>
          <w:p>
            <w:pPr>
              <w:spacing w:line="240"/>
              <w:jc w:val="left"/>
            </w:pPr>
            <w:r>
              <w:rPr>
                <w:color w:val="000000"/>
                <w:sz w:val="15"/>
                <w:szCs w:val="15"/>
              </w:rPr>
              <w:t xml:space="preserve">$3.595,1 M</w:t>
            </w:r>
          </w:p>
        </w:tc>
        <w:tc>
          <w:tcPr>
            <w:tcW w:type="dxa" w:w="2200"/>
            <w:tcMar>
              <w:top w:type="dxa" w:w="50"/>
              <w:left w:type="dxa" w:w="80"/>
              <w:bottom w:type="dxa" w:w="50"/>
              <w:right w:type="dxa" w:w="80"/>
            </w:tcMar>
          </w:tcPr>
          <w:p>
            <w:pPr>
              <w:spacing w:line="240"/>
              <w:jc w:val="left"/>
            </w:pPr>
            <w:r>
              <w:rPr>
                <w:color w:val="000000"/>
                <w:sz w:val="15"/>
                <w:szCs w:val="15"/>
              </w:rPr>
              <w:t xml:space="preserve">$3.546,6 M</w:t>
            </w:r>
          </w:p>
        </w:tc>
        <w:tc>
          <w:tcPr>
            <w:tcW w:type="dxa" w:w="2200"/>
            <w:tcMar>
              <w:top w:type="dxa" w:w="50"/>
              <w:left w:type="dxa" w:w="80"/>
              <w:bottom w:type="dxa" w:w="50"/>
              <w:right w:type="dxa" w:w="80"/>
            </w:tcMar>
          </w:tcPr>
          <w:p>
            <w:pPr>
              <w:spacing w:line="240"/>
              <w:jc w:val="left"/>
            </w:pPr>
            <w:r>
              <w:rPr>
                <w:color w:val="000000"/>
                <w:sz w:val="15"/>
                <w:szCs w:val="15"/>
              </w:rPr>
              <w:t xml:space="preserve">−1,3%. Sin corregir, los SKUs duplicados se valúan dos veces y los 22 SKUs sin costo valen cero. Los dos errores se compensan en parte: el total parece razonable aunque esté mal por SKU.</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ago-2026 (a costo)</w:t>
            </w:r>
          </w:p>
        </w:tc>
        <w:tc>
          <w:tcPr>
            <w:tcW w:type="dxa" w:w="2200"/>
            <w:tcMar>
              <w:top w:type="dxa" w:w="50"/>
              <w:left w:type="dxa" w:w="80"/>
              <w:bottom w:type="dxa" w:w="50"/>
              <w:right w:type="dxa" w:w="80"/>
            </w:tcMar>
          </w:tcPr>
          <w:p>
            <w:pPr>
              <w:spacing w:line="240"/>
              <w:jc w:val="left"/>
            </w:pPr>
            <w:r>
              <w:rPr>
                <w:color w:val="000000"/>
                <w:sz w:val="15"/>
                <w:szCs w:val="15"/>
              </w:rPr>
              <w:t xml:space="preserve">$3.119,6 M</w:t>
            </w:r>
          </w:p>
        </w:tc>
        <w:tc>
          <w:tcPr>
            <w:tcW w:type="dxa" w:w="2200"/>
            <w:tcMar>
              <w:top w:type="dxa" w:w="50"/>
              <w:left w:type="dxa" w:w="80"/>
              <w:bottom w:type="dxa" w:w="50"/>
              <w:right w:type="dxa" w:w="80"/>
            </w:tcMar>
          </w:tcPr>
          <w:p>
            <w:pPr>
              <w:spacing w:line="240"/>
              <w:jc w:val="left"/>
            </w:pPr>
            <w:r>
              <w:rPr>
                <w:color w:val="000000"/>
                <w:sz w:val="15"/>
                <w:szCs w:val="15"/>
              </w:rPr>
              <w:t xml:space="preserve">$3.097,6 M</w:t>
            </w:r>
          </w:p>
        </w:tc>
        <w:tc>
          <w:tcPr>
            <w:tcW w:type="dxa" w:w="2200"/>
            <w:tcMar>
              <w:top w:type="dxa" w:w="50"/>
              <w:left w:type="dxa" w:w="80"/>
              <w:bottom w:type="dxa" w:w="50"/>
              <w:right w:type="dxa" w:w="80"/>
            </w:tcMar>
          </w:tcPr>
          <w:p>
            <w:pPr>
              <w:spacing w:line="240"/>
              <w:jc w:val="left"/>
            </w:pPr>
            <w:r>
              <w:rPr>
                <w:color w:val="000000"/>
                <w:sz w:val="15"/>
                <w:szCs w:val="15"/>
              </w:rPr>
              <w:t xml:space="preserve">−0,7%. Incluye el costo supuesto de los 22 SKUs (costo de OC × 1,2321, supuesto declarado en 1.2).</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por categoría a dic-2025 (a costo; métrica de Finanzas)</w:t>
            </w:r>
          </w:p>
        </w:tc>
        <w:tc>
          <w:tcPr>
            <w:tcW w:type="dxa" w:w="2200"/>
            <w:tcMar>
              <w:top w:type="dxa" w:w="50"/>
              <w:left w:type="dxa" w:w="80"/>
              <w:bottom w:type="dxa" w:w="50"/>
              <w:right w:type="dxa" w:w="80"/>
            </w:tcMar>
          </w:tcPr>
          <w:p>
            <w:pPr>
              <w:spacing w:line="240"/>
              <w:jc w:val="left"/>
            </w:pPr>
            <w:r>
              <w:rPr>
                <w:color w:val="000000"/>
                <w:sz w:val="15"/>
                <w:szCs w:val="15"/>
              </w:rPr>
              <w:t xml:space="preserve">Baño $317,0 M · Cocina y mesa $785,3 M · Organización $419,9 M · Decoración $727,8 M</w:t>
            </w:r>
          </w:p>
        </w:tc>
        <w:tc>
          <w:tcPr>
            <w:tcW w:type="dxa" w:w="2200"/>
            <w:tcMar>
              <w:top w:type="dxa" w:w="50"/>
              <w:left w:type="dxa" w:w="80"/>
              <w:bottom w:type="dxa" w:w="50"/>
              <w:right w:type="dxa" w:w="80"/>
            </w:tcMar>
          </w:tcPr>
          <w:p>
            <w:pPr>
              <w:spacing w:line="240"/>
              <w:jc w:val="left"/>
            </w:pPr>
            <w:r>
              <w:rPr>
                <w:color w:val="000000"/>
                <w:sz w:val="15"/>
                <w:szCs w:val="15"/>
              </w:rPr>
              <w:t xml:space="preserve">Baño $277,8 M · Cocina y mesa $735,3 M · Organización $456,9 M · Decoración $750,4 M</w:t>
            </w:r>
          </w:p>
        </w:tc>
        <w:tc>
          <w:tcPr>
            <w:tcW w:type="dxa" w:w="2200"/>
            <w:tcMar>
              <w:top w:type="dxa" w:w="50"/>
              <w:left w:type="dxa" w:w="80"/>
              <w:bottom w:type="dxa" w:w="50"/>
              <w:right w:type="dxa" w:w="80"/>
            </w:tcMar>
          </w:tcPr>
          <w:p>
            <w:pPr>
              <w:spacing w:line="240"/>
              <w:jc w:val="left"/>
            </w:pPr>
            <w:r>
              <w:rPr>
                <w:color w:val="000000"/>
                <w:sz w:val="15"/>
                <w:szCs w:val="15"/>
              </w:rPr>
              <w:t xml:space="preserve">El total cambia −1,3%, pero por categoría va de −12,4% (Baño) y −6,4% (Cocina y mesa) a +3,1% (Decoración) y +8,8% (Organización): los SKUs duplicados restan donde se contaban dos veces y los 22 SKUs sin costo suman donde valían $0. El capital en posiciones con más de 12 meses de cobertura pasa de $61,8 M a $64,8 M (+4,9%). Finanzas no debería leer el capital por categoría sin corregir. Detalle de las 7 categorías en el dashboard.</w:t>
            </w:r>
          </w:p>
        </w:tc>
      </w:tr>
      <w:tr>
        <w:tc>
          <w:tcPr>
            <w:tcW w:type="dxa" w:w="2400"/>
            <w:tcMar>
              <w:top w:type="dxa" w:w="50"/>
              <w:left w:type="dxa" w:w="80"/>
              <w:bottom w:type="dxa" w:w="50"/>
              <w:right w:type="dxa" w:w="80"/>
            </w:tcMar>
          </w:tcPr>
          <w:p>
            <w:pPr>
              <w:spacing w:line="240"/>
              <w:jc w:val="left"/>
            </w:pPr>
            <w:r>
              <w:rPr>
                <w:color w:val="000000"/>
                <w:sz w:val="15"/>
                <w:szCs w:val="15"/>
              </w:rPr>
              <w:t xml:space="preserve">Valores distintos de categoría · participación de Decoración en la venta</w:t>
            </w:r>
          </w:p>
        </w:tc>
        <w:tc>
          <w:tcPr>
            <w:tcW w:type="dxa" w:w="2200"/>
            <w:tcMar>
              <w:top w:type="dxa" w:w="50"/>
              <w:left w:type="dxa" w:w="80"/>
              <w:bottom w:type="dxa" w:w="50"/>
              <w:right w:type="dxa" w:w="80"/>
            </w:tcMar>
          </w:tcPr>
          <w:p>
            <w:pPr>
              <w:spacing w:line="240"/>
              <w:jc w:val="left"/>
            </w:pPr>
            <w:r>
              <w:rPr>
                <w:color w:val="000000"/>
                <w:sz w:val="15"/>
                <w:szCs w:val="15"/>
              </w:rPr>
              <w:t xml:space="preserve">11 · 20,80%</w:t>
            </w:r>
          </w:p>
        </w:tc>
        <w:tc>
          <w:tcPr>
            <w:tcW w:type="dxa" w:w="2200"/>
            <w:tcMar>
              <w:top w:type="dxa" w:w="50"/>
              <w:left w:type="dxa" w:w="80"/>
              <w:bottom w:type="dxa" w:w="50"/>
              <w:right w:type="dxa" w:w="80"/>
            </w:tcMar>
          </w:tcPr>
          <w:p>
            <w:pPr>
              <w:spacing w:line="240"/>
              <w:jc w:val="left"/>
            </w:pPr>
            <w:r>
              <w:rPr>
                <w:color w:val="000000"/>
                <w:sz w:val="15"/>
                <w:szCs w:val="15"/>
              </w:rPr>
              <w:t xml:space="preserve">7 · 22,31%</w:t>
            </w:r>
          </w:p>
        </w:tc>
        <w:tc>
          <w:tcPr>
            <w:tcW w:type="dxa" w:w="2200"/>
            <w:tcMar>
              <w:top w:type="dxa" w:w="50"/>
              <w:left w:type="dxa" w:w="80"/>
              <w:bottom w:type="dxa" w:w="50"/>
              <w:right w:type="dxa" w:w="80"/>
            </w:tcMar>
          </w:tcPr>
          <w:p>
            <w:pPr>
              <w:spacing w:line="240"/>
              <w:jc w:val="left"/>
            </w:pPr>
            <w:r>
              <w:rPr>
                <w:color w:val="000000"/>
                <w:sz w:val="15"/>
                <w:szCs w:val="15"/>
              </w:rPr>
              <w:t xml:space="preserve">R1. Sin unificar, Decoración pierde 1,5 pp de participación (los SKUs cargados como DECO o Decoración). Afecta la elección de la categoría piloto.</w:t>
            </w:r>
          </w:p>
        </w:tc>
      </w:tr>
      <w:tr>
        <w:tc>
          <w:tcPr>
            <w:tcW w:type="dxa" w:w="2400"/>
            <w:tcMar>
              <w:top w:type="dxa" w:w="50"/>
              <w:left w:type="dxa" w:w="80"/>
              <w:bottom w:type="dxa" w:w="50"/>
              <w:right w:type="dxa" w:w="80"/>
            </w:tcMar>
          </w:tcPr>
          <w:p>
            <w:pPr>
              <w:spacing w:line="240"/>
              <w:jc w:val="left"/>
            </w:pPr>
            <w:r>
              <w:rPr>
                <w:color w:val="000000"/>
                <w:sz w:val="15"/>
                <w:szCs w:val="15"/>
              </w:rPr>
              <w:t xml:space="preserve">Descuento promedio: liquidaciones · promociones</w:t>
            </w:r>
          </w:p>
        </w:tc>
        <w:tc>
          <w:tcPr>
            <w:tcW w:type="dxa" w:w="2200"/>
            <w:tcMar>
              <w:top w:type="dxa" w:w="50"/>
              <w:left w:type="dxa" w:w="80"/>
              <w:bottom w:type="dxa" w:w="50"/>
              <w:right w:type="dxa" w:w="80"/>
            </w:tcMar>
          </w:tcPr>
          <w:p>
            <w:pPr>
              <w:spacing w:line="240"/>
              <w:jc w:val="left"/>
            </w:pPr>
            <w:r>
              <w:rPr>
                <w:color w:val="000000"/>
                <w:sz w:val="15"/>
                <w:szCs w:val="15"/>
              </w:rPr>
              <w:t xml:space="preserve">26,56% · 20,80%</w:t>
            </w:r>
          </w:p>
        </w:tc>
        <w:tc>
          <w:tcPr>
            <w:tcW w:type="dxa" w:w="2200"/>
            <w:tcMar>
              <w:top w:type="dxa" w:w="50"/>
              <w:left w:type="dxa" w:w="80"/>
              <w:bottom w:type="dxa" w:w="50"/>
              <w:right w:type="dxa" w:w="80"/>
            </w:tcMar>
          </w:tcPr>
          <w:p>
            <w:pPr>
              <w:spacing w:line="240"/>
              <w:jc w:val="left"/>
            </w:pPr>
            <w:r>
              <w:rPr>
                <w:color w:val="000000"/>
                <w:sz w:val="15"/>
                <w:szCs w:val="15"/>
              </w:rPr>
              <w:t xml:space="preserve">26,31% · 20,00%</w:t>
            </w:r>
          </w:p>
        </w:tc>
        <w:tc>
          <w:tcPr>
            <w:tcW w:type="dxa" w:w="2200"/>
            <w:tcMar>
              <w:top w:type="dxa" w:w="50"/>
              <w:left w:type="dxa" w:w="80"/>
              <w:bottom w:type="dxa" w:w="50"/>
              <w:right w:type="dxa" w:w="80"/>
            </w:tcMar>
          </w:tcPr>
          <w:p>
            <w:pPr>
              <w:spacing w:line="240"/>
              <w:jc w:val="left"/>
            </w:pPr>
            <w:r>
              <w:rPr>
                <w:color w:val="000000"/>
                <w:sz w:val="15"/>
                <w:szCs w:val="15"/>
              </w:rPr>
              <w:t xml:space="preserve">H9. Los 5 descuentos fuera de rango (120%, −10%, 150%, −15%) se excluyen como error de carga (P24-P28).</w:t>
            </w:r>
          </w:p>
        </w:tc>
      </w:tr>
      <w:tr>
        <w:tc>
          <w:tcPr>
            <w:tcW w:type="dxa" w:w="2400"/>
            <w:tcMar>
              <w:top w:type="dxa" w:w="50"/>
              <w:left w:type="dxa" w:w="80"/>
              <w:bottom w:type="dxa" w:w="50"/>
              <w:right w:type="dxa" w:w="80"/>
            </w:tcMar>
          </w:tcPr>
          <w:p>
            <w:pPr>
              <w:spacing w:line="240"/>
              <w:jc w:val="left"/>
            </w:pPr>
            <w:r>
              <w:rPr>
                <w:color w:val="000000"/>
                <w:sz w:val="15"/>
                <w:szCs w:val="15"/>
              </w:rPr>
              <w:t xml:space="preserve">Liquidaciones con fecha de fin legible</w:t>
            </w:r>
          </w:p>
        </w:tc>
        <w:tc>
          <w:tcPr>
            <w:tcW w:type="dxa" w:w="2200"/>
            <w:tcMar>
              <w:top w:type="dxa" w:w="50"/>
              <w:left w:type="dxa" w:w="80"/>
              <w:bottom w:type="dxa" w:w="50"/>
              <w:right w:type="dxa" w:w="80"/>
            </w:tcMar>
          </w:tcPr>
          <w:p>
            <w:pPr>
              <w:spacing w:line="240"/>
              <w:jc w:val="left"/>
            </w:pPr>
            <w:r>
              <w:rPr>
                <w:color w:val="000000"/>
                <w:sz w:val="15"/>
                <w:szCs w:val="15"/>
              </w:rPr>
              <w:t xml:space="preserve">585</w:t>
            </w:r>
          </w:p>
        </w:tc>
        <w:tc>
          <w:tcPr>
            <w:tcW w:type="dxa" w:w="2200"/>
            <w:tcMar>
              <w:top w:type="dxa" w:w="50"/>
              <w:left w:type="dxa" w:w="80"/>
              <w:bottom w:type="dxa" w:w="50"/>
              <w:right w:type="dxa" w:w="80"/>
            </w:tcMar>
          </w:tcPr>
          <w:p>
            <w:pPr>
              <w:spacing w:line="240"/>
              <w:jc w:val="left"/>
            </w:pPr>
            <w:r>
              <w:rPr>
                <w:color w:val="000000"/>
                <w:sz w:val="15"/>
                <w:szCs w:val="15"/>
              </w:rPr>
              <w:t xml:space="preserve">593</w:t>
            </w:r>
          </w:p>
        </w:tc>
        <w:tc>
          <w:tcPr>
            <w:tcW w:type="dxa" w:w="2200"/>
            <w:tcMar>
              <w:top w:type="dxa" w:w="50"/>
              <w:left w:type="dxa" w:w="80"/>
              <w:bottom w:type="dxa" w:w="50"/>
              <w:right w:type="dxa" w:w="80"/>
            </w:tcMar>
          </w:tcPr>
          <w:p>
            <w:pPr>
              <w:spacing w:line="240"/>
              <w:jc w:val="left"/>
            </w:pPr>
            <w:r>
              <w:rPr>
                <w:color w:val="000000"/>
                <w:sz w:val="15"/>
                <w:szCs w:val="15"/>
              </w:rPr>
              <w:t xml:space="preserve">R2. Las 8 fechas con hora se recuperan; el TP1 las había descartado como no parseables.</w:t>
            </w:r>
          </w:p>
        </w:tc>
      </w:tr>
      <w:tr>
        <w:tc>
          <w:tcPr>
            <w:tcW w:type="dxa" w:w="2400"/>
            <w:tcMar>
              <w:top w:type="dxa" w:w="50"/>
              <w:left w:type="dxa" w:w="80"/>
              <w:bottom w:type="dxa" w:w="50"/>
              <w:right w:type="dxa" w:w="80"/>
            </w:tcMar>
          </w:tcPr>
          <w:p>
            <w:pPr>
              <w:spacing w:line="240"/>
              <w:jc w:val="left"/>
            </w:pPr>
            <w:r>
              <w:rPr>
                <w:color w:val="000000"/>
                <w:sz w:val="15"/>
                <w:szCs w:val="15"/>
              </w:rPr>
              <w:t xml:space="preserve">Cumplimiento presupuestario 2022</w:t>
            </w:r>
          </w:p>
        </w:tc>
        <w:tc>
          <w:tcPr>
            <w:tcW w:type="dxa" w:w="2200"/>
            <w:tcMar>
              <w:top w:type="dxa" w:w="50"/>
              <w:left w:type="dxa" w:w="80"/>
              <w:bottom w:type="dxa" w:w="50"/>
              <w:right w:type="dxa" w:w="80"/>
            </w:tcMar>
          </w:tcPr>
          <w:p>
            <w:pPr>
              <w:spacing w:line="240"/>
              <w:jc w:val="left"/>
            </w:pPr>
            <w:r>
              <w:rPr>
                <w:color w:val="000000"/>
                <w:sz w:val="15"/>
                <w:szCs w:val="15"/>
              </w:rPr>
              <w:t xml:space="preserve">90,76%</w:t>
            </w:r>
          </w:p>
        </w:tc>
        <w:tc>
          <w:tcPr>
            <w:tcW w:type="dxa" w:w="2200"/>
            <w:tcMar>
              <w:top w:type="dxa" w:w="50"/>
              <w:left w:type="dxa" w:w="80"/>
              <w:bottom w:type="dxa" w:w="50"/>
              <w:right w:type="dxa" w:w="80"/>
            </w:tcMar>
          </w:tcPr>
          <w:p>
            <w:pPr>
              <w:spacing w:line="240"/>
              <w:jc w:val="left"/>
            </w:pPr>
            <w:r>
              <w:rPr>
                <w:color w:val="000000"/>
                <w:sz w:val="15"/>
                <w:szCs w:val="15"/>
              </w:rPr>
              <w:t xml:space="preserve">90,24%</w:t>
            </w:r>
          </w:p>
        </w:tc>
        <w:tc>
          <w:tcPr>
            <w:tcW w:type="dxa" w:w="2200"/>
            <w:tcMar>
              <w:top w:type="dxa" w:w="50"/>
              <w:left w:type="dxa" w:w="80"/>
              <w:bottom w:type="dxa" w:w="50"/>
              <w:right w:type="dxa" w:w="80"/>
            </w:tcMar>
          </w:tcPr>
          <w:p>
            <w:pPr>
              <w:spacing w:line="240"/>
              <w:jc w:val="left"/>
            </w:pPr>
            <w:r>
              <w:rPr>
                <w:color w:val="000000"/>
                <w:sz w:val="15"/>
                <w:szCs w:val="15"/>
              </w:rPr>
              <w:t xml:space="preserve">H9. Sin excluir los 309 ceros de ene-may 2022 y los 3 negativos, la venta real sin meta infla el cumplimiento en 0,5 pp.</w:t>
            </w:r>
          </w:p>
        </w:tc>
      </w:tr>
      <w:tr>
        <w:tc>
          <w:tcPr>
            <w:tcW w:type="dxa" w:w="2400"/>
            <w:tcMar>
              <w:top w:type="dxa" w:w="50"/>
              <w:left w:type="dxa" w:w="80"/>
              <w:bottom w:type="dxa" w:w="50"/>
              <w:right w:type="dxa" w:w="80"/>
            </w:tcMar>
          </w:tcPr>
          <w:p>
            <w:pPr>
              <w:spacing w:line="240"/>
              <w:jc w:val="left"/>
            </w:pPr>
            <w:r>
              <w:rPr>
                <w:color w:val="000000"/>
                <w:sz w:val="15"/>
                <w:szCs w:val="15"/>
              </w:rPr>
              <w:t xml:space="preserve">Posiciones con cobertura &gt; 12 meses a dic-2025</w:t>
            </w:r>
          </w:p>
        </w:tc>
        <w:tc>
          <w:tcPr>
            <w:tcW w:type="dxa" w:w="2200"/>
            <w:tcMar>
              <w:top w:type="dxa" w:w="50"/>
              <w:left w:type="dxa" w:w="80"/>
              <w:bottom w:type="dxa" w:w="50"/>
              <w:right w:type="dxa" w:w="80"/>
            </w:tcMar>
          </w:tcPr>
          <w:p>
            <w:pPr>
              <w:spacing w:line="240"/>
              <w:jc w:val="left"/>
            </w:pPr>
            <w:r>
              <w:rPr>
                <w:color w:val="000000"/>
                <w:sz w:val="15"/>
                <w:szCs w:val="15"/>
              </w:rPr>
              <w:t xml:space="preserve">211</w:t>
            </w:r>
          </w:p>
        </w:tc>
        <w:tc>
          <w:tcPr>
            <w:tcW w:type="dxa" w:w="2200"/>
            <w:tcMar>
              <w:top w:type="dxa" w:w="50"/>
              <w:left w:type="dxa" w:w="80"/>
              <w:bottom w:type="dxa" w:w="50"/>
              <w:right w:type="dxa" w:w="80"/>
            </w:tcMar>
          </w:tcPr>
          <w:p>
            <w:pPr>
              <w:spacing w:line="240"/>
              <w:jc w:val="left"/>
            </w:pPr>
            <w:r>
              <w:rPr>
                <w:color w:val="000000"/>
                <w:sz w:val="15"/>
                <w:szCs w:val="15"/>
              </w:rPr>
              <w:t xml:space="preserve">200</w:t>
            </w:r>
          </w:p>
        </w:tc>
        <w:tc>
          <w:tcPr>
            <w:tcW w:type="dxa" w:w="2200"/>
            <w:tcMar>
              <w:top w:type="dxa" w:w="50"/>
              <w:left w:type="dxa" w:w="80"/>
              <w:bottom w:type="dxa" w:w="50"/>
              <w:right w:type="dxa" w:w="80"/>
            </w:tcMar>
          </w:tcPr>
          <w:p>
            <w:pPr>
              <w:spacing w:line="240"/>
              <w:jc w:val="left"/>
            </w:pPr>
            <w:r>
              <w:rPr>
                <w:color w:val="000000"/>
                <w:sz w:val="15"/>
                <w:szCs w:val="15"/>
              </w:rPr>
              <w:t xml:space="preserve">−5%. Cambian posiciones individuales por los duplicados, los negativos y las devoluciones al proveedor, que dejan de bajar el ritmo de venta.</w:t>
            </w:r>
          </w:p>
        </w:tc>
      </w:tr>
      <w:tr>
        <w:tc>
          <w:tcPr>
            <w:tcW w:type="dxa" w:w="2400"/>
            <w:tcMar>
              <w:top w:type="dxa" w:w="50"/>
              <w:left w:type="dxa" w:w="80"/>
              <w:bottom w:type="dxa" w:w="50"/>
              <w:right w:type="dxa" w:w="80"/>
            </w:tcMar>
          </w:tcPr>
          <w:p>
            <w:pPr>
              <w:spacing w:line="240"/>
              <w:jc w:val="left"/>
            </w:pPr>
            <w:r>
              <w:rPr>
                <w:color w:val="000000"/>
                <w:sz w:val="15"/>
                <w:szCs w:val="15"/>
              </w:rPr>
              <w:t xml:space="preserve">Prevalencia del target (criterio previo → criterios finales)</w:t>
            </w:r>
          </w:p>
        </w:tc>
        <w:tc>
          <w:tcPr>
            <w:tcW w:type="dxa" w:w="2200"/>
            <w:tcMar>
              <w:top w:type="dxa" w:w="50"/>
              <w:left w:type="dxa" w:w="80"/>
              <w:bottom w:type="dxa" w:w="50"/>
              <w:right w:type="dxa" w:w="80"/>
            </w:tcMar>
          </w:tcPr>
          <w:p>
            <w:pPr>
              <w:spacing w:line="240"/>
              <w:jc w:val="left"/>
            </w:pPr>
            <w:r>
              <w:rPr>
                <w:color w:val="000000"/>
                <w:sz w:val="15"/>
                <w:szCs w:val="15"/>
              </w:rPr>
              <w:t xml:space="preserve">2,61% · 5.260 positivos</w:t>
            </w:r>
          </w:p>
        </w:tc>
        <w:tc>
          <w:tcPr>
            <w:tcW w:type="dxa" w:w="2200"/>
            <w:tcMar>
              <w:top w:type="dxa" w:w="50"/>
              <w:left w:type="dxa" w:w="80"/>
              <w:bottom w:type="dxa" w:w="50"/>
              <w:right w:type="dxa" w:w="80"/>
            </w:tcMar>
          </w:tcPr>
          <w:p>
            <w:pPr>
              <w:spacing w:line="240"/>
              <w:jc w:val="left"/>
            </w:pPr>
            <w:r>
              <w:rPr>
                <w:color w:val="000000"/>
                <w:sz w:val="15"/>
                <w:szCs w:val="15"/>
              </w:rPr>
              <w:t xml:space="preserve">3,22% · 6.490 positivos</w:t>
            </w:r>
          </w:p>
        </w:tc>
        <w:tc>
          <w:tcPr>
            <w:tcW w:type="dxa" w:w="2200"/>
            <w:tcMar>
              <w:top w:type="dxa" w:w="50"/>
              <w:left w:type="dxa" w:w="80"/>
              <w:bottom w:type="dxa" w:w="50"/>
              <w:right w:type="dxa" w:w="80"/>
            </w:tcMar>
          </w:tcPr>
          <w:p>
            <w:pPr>
              <w:spacing w:line="240"/>
              <w:jc w:val="left"/>
            </w:pPr>
            <w:r>
              <w:rPr>
                <w:color w:val="000000"/>
                <w:sz w:val="15"/>
                <w:szCs w:val="15"/>
              </w:rPr>
              <w:t xml:space="preserve">+23%. Es el cambio más relevante para el modelo: el tratamiento de las devoluciones (P23) redefine qué posiciones son positivas, sobre todo las de muy bajo volumen. Con todas las devoluciones neteadas (v3) era 3,40% · 6.853; no netear las devoluciones al proveedor por «sin rotación» resta 330 positivos y la regla de deduplicación de Casa Óga, 34 (363 en conjunto).</w:t>
            </w:r>
          </w:p>
        </w:tc>
      </w:tr>
    </w:tbl>
    <w:p>
      <w:pPr>
        <w:spacing w:after="110" w:line="276" w:before="160"/>
        <w:jc w:val="both"/>
      </w:pPr>
      <w:r>
        <w:rPr>
          <w:b/>
          <w:bCs/>
          <w:sz w:val="21"/>
          <w:szCs w:val="21"/>
        </w:rPr>
        <w:t xml:space="preserve">Conclusión. </w:t>
      </w:r>
      <w:r>
        <w:rPr>
          <w:sz w:val="21"/>
          <w:szCs w:val="21"/>
        </w:rPr>
        <w:t xml:space="preserve">Los problemas de calidad mueven poco los agregados (menos de 2% en venta, unidades y capital), pero sí los cortes que usa el modelo: por SKU (duplicados y costos faltantes), por categoría (Decoración y el capital inmovilizado de cada categoría, que se mueve entre −12% y +9%) y por posición. La prevalencia del target sube 23% según cómo se traten las devoluciones y los duplicados. Por eso el plan de mejora se aplica completo antes de construir el dataset de entrenamiento, y los agregados sin corregir no deben usarse como validación de que los datos están bien.</w:t>
      </w:r>
    </w:p>
    <w:p>
      <w:pPr>
        <w:pStyle w:val="Heading1"/>
        <w:shd w:fill="F2F2F2" w:color="auto" w:val="clear"/>
        <w:spacing w:after="150" w:before="300"/>
      </w:pPr>
      <w:r>
        <w:rPr>
          <w:b/>
          <w:bCs/>
          <w:sz w:val="28"/>
          <w:szCs w:val="28"/>
        </w:rPr>
        <w:t xml:space="preserve">Sección 2 · Selección de Datos y Preparación para el Modelo</w:t>
      </w:r>
    </w:p>
    <w:p>
      <w:pPr>
        <w:pStyle w:val="Heading2"/>
        <w:spacing w:after="90" w:before="220"/>
      </w:pPr>
      <w:r>
        <w:rPr>
          <w:b/>
          <w:bCs/>
          <w:color w:val="C0504D"/>
          <w:sz w:val="22"/>
          <w:szCs w:val="22"/>
        </w:rPr>
        <w:t xml:space="preserve">2.1 Definición del Dataset de Entrenamiento</w:t>
      </w:r>
    </w:p>
    <w:p>
      <w:pPr>
        <w:spacing w:after="110" w:line="276"/>
        <w:jc w:val="both"/>
      </w:pPr>
      <w:r>
        <w:rPr>
          <w:sz w:val="21"/>
          <w:szCs w:val="21"/>
        </w:rPr>
        <w:t xml:space="preserve">El dataset se construye sobre los datos ya corregidos según el plan de la sección 1.2. La definición del target, la unidad y el horizonte surgen del relevamiento con el negocio y de la comparación de cinco variables objetivo candidatas. Con el universo definitivo (posiciones con al menos 3 meses de historia) las cinco tienen una inercia parecida: una regla que repite el estado actual acierta entre el 34% y el 39% de los casos en todas. La elección se apoya entonces en el negocio: un umbral relativo a la rotación de cada SKU, como pidió Comercial; sin discontinuados, que en 2026 no existen; y un evento sobre el que se puede actuar.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Elemento</w:t>
            </w:r>
          </w:p>
        </w:tc>
        <w:tc>
          <w:tcPr>
            <w:tcW w:type="dxa" w:w="5500"/>
            <w:shd w:fill="1F3864" w:color="auto" w:val="clear"/>
            <w:tcMar>
              <w:top w:type="dxa" w:w="50"/>
              <w:left w:type="dxa" w:w="80"/>
              <w:bottom w:type="dxa" w:w="50"/>
              <w:right w:type="dxa" w:w="80"/>
            </w:tcMar>
          </w:tcPr>
          <w:p>
            <w:pPr>
              <w:spacing w:line="240"/>
              <w:jc w:val="left"/>
            </w:pPr>
            <w:r>
              <w:rPr>
                <w:b/>
                <w:bCs/>
                <w:color w:val="FFFFFF"/>
                <w:sz w:val="15"/>
                <w:szCs w:val="15"/>
              </w:rPr>
              <w:t xml:space="preserve">Definición del equipo</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Variable objetivo (target) del modelo</w:t>
            </w:r>
          </w:p>
        </w:tc>
        <w:tc>
          <w:tcPr>
            <w:tcW w:type="dxa" w:w="5500"/>
            <w:tcMar>
              <w:top w:type="dxa" w:w="50"/>
              <w:left w:type="dxa" w:w="80"/>
              <w:bottom w:type="dxa" w:w="50"/>
              <w:right w:type="dxa" w:w="80"/>
            </w:tcMar>
          </w:tcPr>
          <w:p>
            <w:pPr>
              <w:spacing w:line="240"/>
              <w:jc w:val="left"/>
            </w:pPr>
            <w:r>
              <w:rPr>
                <w:color w:val="000000"/>
                <w:sz w:val="15"/>
                <w:szCs w:val="15"/>
              </w:rPr>
              <w:t xml:space="preserve">Binaria. Vale 1 si la posición SKU–tienda tiene cobertura mayor a 12 meses dentro de 3 meses (t+3). Cobertura = stock disponible / promedio mensual de unidades vendidas de los últimos 12 meses (o de los disponibles, si la posición es más nueva), con las devoluciones de clientes neteadas. Las devoluciones al proveedor por «sin rotación / no vendido» no se netean: son un movimiento de inventario (P18-P19). Se excluyen los SKUs discontinuados, que van a una lista aparte con regla fija.</w:t>
            </w:r>
          </w:p>
          <w:p>
            <w:pPr>
              <w:spacing w:line="240"/>
              <w:jc w:val="left"/>
            </w:pPr>
            <w:r>
              <w:rPr>
                <w:color w:val="000000"/>
                <w:sz w:val="15"/>
                <w:szCs w:val="15"/>
              </w:rPr>
              <w:t xml:space="preserve">Positivos: 6.490 de 201.310 filas (3,22%). Excluir ese motivo del neteo resta 330 positivos y la regla de deduplicación de Casa Óga, 34; en la v3, con todas las devoluciones neteadas, eran 6.853 (3,40%). Se prioriza recall: el negocio declaró más costoso el falso negativo.</w:t>
            </w:r>
          </w:p>
          <w:p>
            <w:pPr>
              <w:spacing w:line="240"/>
              <w:jc w:val="left"/>
            </w:pPr>
            <w:r>
              <w:rPr>
                <w:color w:val="000000"/>
                <w:sz w:val="15"/>
                <w:szCs w:val="15"/>
              </w:rPr>
              <w:t xml:space="preserve">Estado: propuesta del equipo, pendiente de aprobación de María G. (Comercial).</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Unidad de análisis / granularidad (ej. cliente-mes, SKU-tienda-mes)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SKU–tienda–mes. Una fila por posición y mes de corte t.</w:t>
            </w:r>
          </w:p>
          <w:p>
            <w:pPr>
              <w:spacing w:line="240"/>
              <w:jc w:val="left"/>
            </w:pPr>
            <w:r>
              <w:rPr>
                <w:color w:val="000000"/>
                <w:sz w:val="15"/>
                <w:szCs w:val="15"/>
              </w:rPr>
              <w:t xml:space="preserve">Universo: posiciones con stock disponible &gt; 0 en t, no discontinuadas, con al menos 3 meses de historia y con la posición observada en t+3. Se bajó de 12 a 3 meses porque con 12 quedaban afuera el 40% de las filas, el 45% de los positivos y todos los productos nuevos, que son los de mayor riesgo (6,8% de positivos en sus primeros 3 meses contra 3,4% de las posiciones maduras). Una variable marca las posiciones con menos de 12 meses. Las de menos de 3 meses quedan fuera del modelo y requieren una regla aparte.</w:t>
            </w:r>
          </w:p>
          <w:p>
            <w:pPr>
              <w:spacing w:line="240"/>
              <w:jc w:val="left"/>
            </w:pPr>
            <w:r>
              <w:rPr>
                <w:color w:val="000000"/>
                <w:sz w:val="15"/>
                <w:szCs w:val="15"/>
              </w:rPr>
              <w:t xml:space="preserve">Condición t+3: excluye 70.416 filas que cumplen todo lo demás (25,9%). 22.436 (31,9%) son cortes de jun-ago 2026, cuyo t+3 cae después del último mes con datos; 26.542 (37,7%) tienen fila en t+3 pero falta algún mes intermedio, y se pierden porque la etiqueta se toma tres filas después; 15.264 (21,7%) no tienen fila en t+3; 3.436 (4,9%) son SKUs que se discontinúan antes de t+3 y 2.738 (3,9%), posiciones que dejan de registrarse.</w:t>
            </w:r>
          </w:p>
          <w:p>
            <w:pPr>
              <w:spacing w:line="240"/>
              <w:jc w:val="left"/>
            </w:pPr>
            <w:r>
              <w:rPr>
                <w:color w:val="000000"/>
                <w:sz w:val="15"/>
                <w:szCs w:val="15"/>
              </w:rPr>
              <w:t xml:space="preserve">Perfil: se reparten como el universo por categoría, tienda (entre 2.315 y 2.749 filas cada una) y stock (mediana 10 contra 11 unidades). Se concentran en 2026 (45% contra 14% del universo) y tienen más posiciones que ya superan 12 meses de cobertura (7,4% contra 4,6%). Las 26.542 filas recuperables tienen una tasa de positivos de 3,19%, igual a la del universo: su exclusión no sesga la prevalencia. Etiquetarlas por fecha y no por fila queda como mejora para el Entregable 3 (resultados/exclusion_t3_v4.csv).</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Features candidatas (variables predictoras a evaluar)</w:t>
            </w:r>
          </w:p>
        </w:tc>
        <w:tc>
          <w:tcPr>
            <w:tcW w:type="dxa" w:w="5500"/>
            <w:tcMar>
              <w:top w:type="dxa" w:w="50"/>
              <w:left w:type="dxa" w:w="80"/>
              <w:bottom w:type="dxa" w:w="50"/>
              <w:right w:type="dxa" w:w="80"/>
            </w:tcMar>
          </w:tcPr>
          <w:p>
            <w:pPr>
              <w:spacing w:line="240"/>
              <w:jc w:val="left"/>
            </w:pPr>
            <w:r>
              <w:rPr>
                <w:color w:val="000000"/>
                <w:sz w:val="15"/>
                <w:szCs w:val="15"/>
              </w:rPr>
              <w:t xml:space="preserve">60 features (55 numéricas y 5 categóricas), todas calculadas con información disponible al cierre del mes t:</w:t>
            </w:r>
          </w:p>
          <w:p>
            <w:pPr>
              <w:spacing w:line="240"/>
              <w:jc w:val="left"/>
            </w:pPr>
            <w:r>
              <w:rPr>
                <w:color w:val="000000"/>
                <w:sz w:val="15"/>
                <w:szCs w:val="15"/>
              </w:rPr>
              <w:t xml:space="preserve">• Demanda e historia de la posición (14): unidades del mes, de t-1 y t-2, de 3 y 6 meses, promedio y máximo de 12 meses, coeficiente de variación, tendencia 3 vs 12 meses, meses con venta, meses consecutivos sin venta, indicador sin venta en 12 meses, antigüedad de la posición e indicador de historia corta.</w:t>
            </w:r>
          </w:p>
          <w:p>
            <w:pPr>
              <w:spacing w:line="240"/>
              <w:jc w:val="left"/>
            </w:pPr>
            <w:r>
              <w:rPr>
                <w:color w:val="000000"/>
                <w:sz w:val="15"/>
                <w:szCs w:val="15"/>
              </w:rPr>
              <w:t xml:space="preserve">• Stock de la posición (5): stock disponible, variación a 3 meses, cobertura actual y de hace 3 meses, cambio de cobertura.</w:t>
            </w:r>
          </w:p>
          <w:p>
            <w:pPr>
              <w:spacing w:line="240"/>
              <w:jc w:val="left"/>
            </w:pPr>
            <w:r>
              <w:rPr>
                <w:color w:val="000000"/>
                <w:sz w:val="15"/>
                <w:szCs w:val="15"/>
              </w:rPr>
              <w:t xml:space="preserve">• SKU en la cadena (8): stock y cobertura del SKU en las 28 tiendas, tiendas con stock y con cobertura &gt; 12, stock y cobertura del depósito central, tendencia del SKU en la cadena, stock de la posición contra el promedio del SKU.</w:t>
            </w:r>
          </w:p>
          <w:p>
            <w:pPr>
              <w:spacing w:line="240"/>
              <w:jc w:val="left"/>
            </w:pPr>
            <w:r>
              <w:rPr>
                <w:color w:val="000000"/>
                <w:sz w:val="15"/>
                <w:szCs w:val="15"/>
              </w:rPr>
              <w:t xml:space="preserve">• Contexto de la tienda (6): tendencia de la tienda y de la categoría en la tienda, peso de la posición en la tienda, posiciones con stock, proporción de posiciones de la tienda con cobertura &gt; 12, cumplimiento presupuestario de 3 meses.</w:t>
            </w:r>
          </w:p>
          <w:p>
            <w:pPr>
              <w:spacing w:line="240"/>
              <w:jc w:val="left"/>
            </w:pPr>
            <w:r>
              <w:rPr>
                <w:color w:val="000000"/>
                <w:sz w:val="15"/>
                <w:szCs w:val="15"/>
              </w:rPr>
              <w:t xml:space="preserve">• Abastecimiento (10): OC recibidas en 3 y 12 meses, cantidad de OC, meses desde la última OC, OC pendientes, transferencias recibidas en 3 y 12 meses y enviadas, lead time y pedido mínimo.</w:t>
            </w:r>
          </w:p>
          <w:p>
            <w:pPr>
              <w:spacing w:line="240"/>
              <w:jc w:val="left"/>
            </w:pPr>
            <w:r>
              <w:rPr>
                <w:color w:val="000000"/>
                <w:sz w:val="15"/>
                <w:szCs w:val="15"/>
              </w:rPr>
              <w:t xml:space="preserve">• Acciones comerciales (7): liquidación activa y su descuento, liquidaciones de la posición y del SKU en 12 meses, promociones de la categoría activas y en 12 meses, descuento máximo.</w:t>
            </w:r>
          </w:p>
          <w:p>
            <w:pPr>
              <w:spacing w:line="240"/>
              <w:jc w:val="left"/>
            </w:pPr>
            <w:r>
              <w:rPr>
                <w:color w:val="000000"/>
                <w:sz w:val="15"/>
                <w:szCs w:val="15"/>
              </w:rPr>
              <w:t xml:space="preserve">• Producto (2 + 3 categóricas): precio relativo a la subcategoría, antigüedad del SKU; categoría, subcategoría y proveedor.</w:t>
            </w:r>
          </w:p>
          <w:p>
            <w:pPr>
              <w:spacing w:line="240"/>
              <w:jc w:val="left"/>
            </w:pPr>
            <w:r>
              <w:rPr>
                <w:color w:val="000000"/>
                <w:sz w:val="15"/>
                <w:szCs w:val="15"/>
              </w:rPr>
              <w:t xml:space="preserve">• Tienda (1 + 2 categóricas): m² de venta; región y formato.  • Temporal (2): mes del año y meses con evento comercial fijo entre t+1 y t+3.</w:t>
            </w:r>
          </w:p>
          <w:p>
            <w:pPr>
              <w:spacing w:line="240"/>
              <w:jc w:val="left"/>
            </w:pPr>
            <w:r>
              <w:rPr>
                <w:color w:val="000000"/>
                <w:sz w:val="15"/>
                <w:szCs w:val="15"/>
              </w:rPr>
              <w:t xml:space="preserve">Las variables excluidas y el motivo se detallan en la tabla «Variables excluidas».</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Fuentes / datasets utilizados (post-joins)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11 de las 15 fuentes como variables, sobre Datasets_Normalizados (corte ago-2026); Devoluciones_SKU se usa además en la limpieza, para identificar el motivo de cada venta negativa:</w:t>
            </w:r>
          </w:p>
          <w:p>
            <w:pPr>
              <w:spacing w:line="240"/>
              <w:jc w:val="left"/>
            </w:pPr>
            <w:r>
              <w:rPr>
                <w:color w:val="000000"/>
                <w:sz w:val="15"/>
                <w:szCs w:val="15"/>
              </w:rPr>
              <w:t xml:space="preserve">• Ventas ⋈ Stock por (mes, tienda, SKU): panel base, tras deduplicar y tratar negativos.</w:t>
            </w:r>
          </w:p>
          <w:p>
            <w:pPr>
              <w:spacing w:line="240"/>
              <w:jc w:val="left"/>
            </w:pPr>
            <w:r>
              <w:rPr>
                <w:color w:val="000000"/>
                <w:sz w:val="15"/>
                <w:szCs w:val="15"/>
              </w:rPr>
              <w:t xml:space="preserve">• Productos_catalogo y Proveedores por SKU y proveedor · Tiendas por tienda.</w:t>
            </w:r>
          </w:p>
          <w:p>
            <w:pPr>
              <w:spacing w:line="240"/>
              <w:jc w:val="left"/>
            </w:pPr>
            <w:r>
              <w:rPr>
                <w:color w:val="000000"/>
                <w:sz w:val="15"/>
                <w:szCs w:val="15"/>
              </w:rPr>
              <w:t xml:space="preserve">• Stock_Deposito_Central y Ordenes_Compra por (mes, SKU).</w:t>
            </w:r>
          </w:p>
          <w:p>
            <w:pPr>
              <w:spacing w:line="240"/>
              <w:jc w:val="left"/>
            </w:pPr>
            <w:r>
              <w:rPr>
                <w:color w:val="000000"/>
                <w:sz w:val="15"/>
                <w:szCs w:val="15"/>
              </w:rPr>
              <w:t xml:space="preserve">• Transferencias_Stock y Liquidaciones por (mes, tienda, SKU) · Promociones_Comerciales por (mes, categoría).</w:t>
            </w:r>
          </w:p>
          <w:p>
            <w:pPr>
              <w:spacing w:line="240"/>
              <w:jc w:val="left"/>
            </w:pPr>
            <w:r>
              <w:rPr>
                <w:color w:val="000000"/>
                <w:sz w:val="15"/>
                <w:szCs w:val="15"/>
              </w:rPr>
              <w:t xml:space="preserve">• Presupuesto por (mes, tienda, categoría), solo el cumplimiento pasado.</w:t>
            </w:r>
          </w:p>
          <w:p>
            <w:pPr>
              <w:spacing w:line="240"/>
              <w:jc w:val="left"/>
            </w:pPr>
            <w:r>
              <w:rPr>
                <w:color w:val="000000"/>
                <w:sz w:val="15"/>
                <w:szCs w:val="15"/>
              </w:rPr>
              <w:t xml:space="preserve">No se usan como variables Calendario (la versión recibida no cubre 2026; los eventos fijos se derivan de la fecha), Historial_Precios (reconstrucción, P9-P10), Devoluciones (no cubre 2026) ni Costo_almacenamiento (constante por categoría). Ninguna fuente contiene datos personales: no aplica anonimización (Ley 25.326).</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Período o ventana temporal cubierta</w:t>
            </w:r>
          </w:p>
        </w:tc>
        <w:tc>
          <w:tcPr>
            <w:tcW w:type="dxa" w:w="5500"/>
            <w:tcMar>
              <w:top w:type="dxa" w:w="50"/>
              <w:left w:type="dxa" w:w="80"/>
              <w:bottom w:type="dxa" w:w="50"/>
              <w:right w:type="dxa" w:w="80"/>
            </w:tcMar>
          </w:tcPr>
          <w:p>
            <w:pPr>
              <w:spacing w:line="240"/>
              <w:jc w:val="left"/>
            </w:pPr>
            <w:r>
              <w:rPr>
                <w:color w:val="000000"/>
                <w:sz w:val="15"/>
                <w:szCs w:val="15"/>
              </w:rPr>
              <w:t xml:space="preserve">Cortes t de mar-2022 a may-2026, con etiquetas hasta ago-2026. Las ventanas usan la historia disponible desde ene-2022.</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Esquema de partición (train / test / validación)</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Temporal, nunca aleatoria, con un embargo de 3 meses (igual al horizonte) entre bloques para que ninguna etiqueta de un bloque caiga en el siguiente:</w:t>
            </w:r>
          </w:p>
          <w:p>
            <w:pPr>
              <w:spacing w:line="240"/>
              <w:jc w:val="left"/>
            </w:pPr>
            <w:r>
              <w:rPr>
                <w:color w:val="000000"/>
                <w:sz w:val="15"/>
                <w:szCs w:val="15"/>
              </w:rPr>
              <w:t xml:space="preserve">• Train: t de mar-2022 a dic-2024 · 98.653 filas · 2,32% positivos.</w:t>
            </w:r>
          </w:p>
          <w:p>
            <w:pPr>
              <w:spacing w:line="240"/>
              <w:jc w:val="left"/>
            </w:pPr>
            <w:r>
              <w:rPr>
                <w:color w:val="000000"/>
                <w:sz w:val="15"/>
                <w:szCs w:val="15"/>
              </w:rPr>
              <w:t xml:space="preserve">• Validación: t de abr-2025 a sep-2025 · 38.360 filas · 2,08% positivos.</w:t>
            </w:r>
          </w:p>
          <w:p>
            <w:pPr>
              <w:spacing w:line="240"/>
              <w:jc w:val="left"/>
            </w:pPr>
            <w:r>
              <w:rPr>
                <w:color w:val="000000"/>
                <w:sz w:val="15"/>
                <w:szCs w:val="15"/>
              </w:rPr>
              <w:t xml:space="preserve">• Test: t de ene-2026 a may-2026 · 28.070 filas · 8,84% positivos.</w:t>
            </w:r>
          </w:p>
          <w:p>
            <w:pPr>
              <w:spacing w:line="240"/>
              <w:jc w:val="left"/>
            </w:pPr>
            <w:r>
              <w:rPr>
                <w:color w:val="000000"/>
                <w:sz w:val="15"/>
                <w:szCs w:val="15"/>
              </w:rPr>
              <w:t xml:space="preserve">• Embargo (no se evalúa): ene-mar 2025 y oct-dic 2025 · 36.227 filas. El modelo final se reentrena con todas las filas.</w:t>
            </w:r>
          </w:p>
          <w:p>
            <w:pPr>
              <w:spacing w:line="240"/>
              <w:jc w:val="left"/>
            </w:pPr>
            <w:r>
              <w:rPr>
                <w:color w:val="000000"/>
                <w:sz w:val="15"/>
                <w:szCs w:val="15"/>
              </w:rPr>
              <w:t xml:space="preserve">La prevalencia de 2026 (8,8%) es más del triple que la de 2022-2025 (2,3%; la venta cae 13,2%) y ese tramo viene de otra fuente de reporte (H13): el test mide si el modelo resiste ese cambio de régimen.</w:t>
            </w:r>
          </w:p>
          <w:p>
            <w:pPr>
              <w:spacing w:line="240"/>
              <w:jc w:val="left"/>
            </w:pPr>
            <w:r>
              <w:rPr>
                <w:color w:val="000000"/>
                <w:sz w:val="15"/>
                <w:szCs w:val="15"/>
              </w:rPr>
              <w:t xml:space="preserve">El test 2026 no debe leerse como el desempeño que Casa Óga puede esperar: es más fácil, porque tiene cuatro veces más casos en riesgo y la cobertura sola casi los separa (AUC 0,94 contra 0,81 en validación). La regla «cobertura actual mayor a 12» tiene precisión de 25% en validación 2025 y de 85% en test 2026. El desempeño esperado se presentará como un rango entre los dos bloques; el Entregable 3 reportará modelo y regla por separado en validación 2025 y en test 2026 (pendiente).</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Nombre y versión del dataset final de entrenamiento</w:t>
            </w:r>
          </w:p>
        </w:tc>
        <w:tc>
          <w:tcPr>
            <w:tcW w:type="dxa" w:w="5500"/>
            <w:tcMar>
              <w:top w:type="dxa" w:w="50"/>
              <w:left w:type="dxa" w:w="80"/>
              <w:bottom w:type="dxa" w:w="50"/>
              <w:right w:type="dxa" w:w="80"/>
            </w:tcMar>
          </w:tcPr>
          <w:p>
            <w:pPr>
              <w:spacing w:line="240"/>
              <w:jc w:val="left"/>
            </w:pPr>
            <w:r>
              <w:rPr>
                <w:color w:val="000000"/>
                <w:sz w:val="15"/>
                <w:szCs w:val="15"/>
              </w:rPr>
              <w:t xml:space="preserve">dataset_entrenamiento_v4 (Datasets_Modelo/dataset_entrenamiento_v4.parquet). Versión transformada: dataset_entrenamiento_v4_transformado.parquet. Diccionario: diccionario_features_v4.csv. Generado por Modelo/construir_dataset_modelo.py, reproducible desde Datasets_Normalizados. La v4 incorpora las correcciones de la revisión: deduplicación por mayor venta, sin neteo de las devoluciones al proveedor y cobertura sin recorte al percentil 99 (Modelo/comparar_reglas_v4.py mide el cambio de cada regla). La v3 (universo con 3 meses de historia, sin precio y costo absolutos ni stock en tránsito) se conserva sin cambios porque es la base del modelo del Entregable 3.</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Cantidad final de filas y columnas (features)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201.310 filas × 60 features, más 3 identificadores (mes, tienda, SKU), el target, la partición y una marca de costo imputado. Cubre 9.818 posiciones, 750 SKUs y 28 tiendas. Después de la codificación one-hot: 106 columnas de features.</w:t>
            </w:r>
          </w:p>
        </w:tc>
      </w:tr>
    </w:tbl>
    <w:p>
      <w:pPr>
        <w:spacing w:after="70" w:before="180"/>
      </w:pPr>
      <w:r>
        <w:rPr>
          <w:b/>
          <w:bCs/>
          <w:sz w:val="21"/>
          <w:szCs w:val="21"/>
        </w:rPr>
        <w:t xml:space="preserve">Criterios de selección de fuentes</w:t>
      </w:r>
    </w:p>
    <w:p>
      <w:pPr>
        <w:spacing w:after="110" w:line="276"/>
        <w:jc w:val="both"/>
      </w:pPr>
      <w:r>
        <w:rPr>
          <w:sz w:val="21"/>
          <w:szCs w:val="21"/>
        </w:rPr>
        <w:t xml:space="preserve">Cada fuente se evaluó por relevancia para el target, disponibilidad histórica, calidad, riesgo de privacidad, accionabilidad y riesgo de sesgo.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Relevancia</w:t>
            </w:r>
          </w:p>
        </w:tc>
        <w:tc>
          <w:tcPr>
            <w:tcW w:type="dxa" w:w="800"/>
            <w:shd w:fill="1F3864" w:color="auto" w:val="clear"/>
            <w:tcMar>
              <w:top w:type="dxa" w:w="50"/>
              <w:left w:type="dxa" w:w="80"/>
              <w:bottom w:type="dxa" w:w="50"/>
              <w:right w:type="dxa" w:w="80"/>
            </w:tcMar>
          </w:tcPr>
          <w:p>
            <w:pPr>
              <w:spacing w:line="240"/>
              <w:jc w:val="left"/>
            </w:pPr>
            <w:r>
              <w:rPr>
                <w:b/>
                <w:bCs/>
                <w:color w:val="FFFFFF"/>
                <w:sz w:val="15"/>
                <w:szCs w:val="15"/>
              </w:rPr>
              <w:t xml:space="preserve">¿Se usa?</w:t>
            </w:r>
          </w:p>
        </w:tc>
        <w:tc>
          <w:tcPr>
            <w:tcW w:type="dxa" w:w="4600"/>
            <w:shd w:fill="1F3864" w:color="auto" w:val="clear"/>
            <w:tcMar>
              <w:top w:type="dxa" w:w="50"/>
              <w:left w:type="dxa" w:w="80"/>
              <w:bottom w:type="dxa" w:w="50"/>
              <w:right w:type="dxa" w:w="80"/>
            </w:tcMar>
          </w:tcPr>
          <w:p>
            <w:pPr>
              <w:spacing w:line="240"/>
              <w:jc w:val="left"/>
            </w:pPr>
            <w:r>
              <w:rPr>
                <w:b/>
                <w:bCs/>
                <w:color w:val="FFFFFF"/>
                <w:sz w:val="15"/>
                <w:szCs w:val="15"/>
              </w:rPr>
              <w:t xml:space="preserve">Criterio</w:t>
            </w:r>
          </w:p>
        </w:tc>
      </w:tr>
      <w:tr>
        <w:tc>
          <w:tcPr>
            <w:tcW w:type="dxa" w:w="2600"/>
            <w:tcMar>
              <w:top w:type="dxa" w:w="50"/>
              <w:left w:type="dxa" w:w="80"/>
              <w:bottom w:type="dxa" w:w="50"/>
              <w:right w:type="dxa" w:w="80"/>
            </w:tcMar>
          </w:tcPr>
          <w:p>
            <w:pPr>
              <w:spacing w:line="240"/>
              <w:jc w:val="left"/>
            </w:pPr>
            <w:r>
              <w:rPr>
                <w:color w:val="000000"/>
                <w:sz w:val="15"/>
                <w:szCs w:val="15"/>
              </w:rPr>
              <w:t xml:space="preserve">Ventas_SKU_tienda_mensual</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Base del target (ritmo de venta) y de las features de demanda. Corregida por H1 y H4.</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Stock_SKU_tienda_mensual</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Base del target (stock disponible). Corregida por H1 y H4. El stock en tránsito no se usa: no tiene definición y pierde la señal en 2026 (H6).</w:t>
            </w:r>
          </w:p>
        </w:tc>
      </w:tr>
      <w:tr>
        <w:tc>
          <w:tcPr>
            <w:tcW w:type="dxa" w:w="2600"/>
            <w:tcMar>
              <w:top w:type="dxa" w:w="50"/>
              <w:left w:type="dxa" w:w="80"/>
              <w:bottom w:type="dxa" w:w="50"/>
              <w:right w:type="dxa" w:w="80"/>
            </w:tcMar>
          </w:tcPr>
          <w:p>
            <w:pPr>
              <w:spacing w:line="240"/>
              <w:jc w:val="left"/>
            </w:pPr>
            <w:r>
              <w:rPr>
                <w:color w:val="000000"/>
                <w:sz w:val="15"/>
                <w:szCs w:val="15"/>
              </w:rPr>
              <w:t xml:space="preserve">Productos_catalogo</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Categoría, subcategoría, proveedor, antigüedad y precio relativo; define los discontinuados. Precio, costo y margen absolutos no se usan: son el valor actual (P10).</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Ordenes_Compra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El EDA ubica el problema en la compra, no en la tienda: las OC recibidas y pendientes anticipan el sobrestock. Accionable por Compras.</w:t>
            </w:r>
          </w:p>
        </w:tc>
      </w:tr>
      <w:tr>
        <w:tc>
          <w:tcPr>
            <w:tcW w:type="dxa" w:w="2600"/>
            <w:tcMar>
              <w:top w:type="dxa" w:w="50"/>
              <w:left w:type="dxa" w:w="80"/>
              <w:bottom w:type="dxa" w:w="50"/>
              <w:right w:type="dxa" w:w="80"/>
            </w:tcMar>
          </w:tcPr>
          <w:p>
            <w:pPr>
              <w:spacing w:line="240"/>
              <w:jc w:val="left"/>
            </w:pPr>
            <w:r>
              <w:rPr>
                <w:color w:val="000000"/>
                <w:sz w:val="15"/>
                <w:szCs w:val="15"/>
              </w:rPr>
              <w:t xml:space="preserve">Stock_Deposito_Central</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Stock disponible para reponer; cubre 2026 sin problemas de calidad.</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Transferencias_Stock</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Movimientos entre tiendas y depósito; palanca de acción de la banda roja.</w:t>
            </w:r>
          </w:p>
        </w:tc>
      </w:tr>
      <w:tr>
        <w:tc>
          <w:tcPr>
            <w:tcW w:type="dxa" w:w="2600"/>
            <w:tcMar>
              <w:top w:type="dxa" w:w="50"/>
              <w:left w:type="dxa" w:w="80"/>
              <w:bottom w:type="dxa" w:w="50"/>
              <w:right w:type="dxa" w:w="80"/>
            </w:tcMar>
          </w:tcPr>
          <w:p>
            <w:pPr>
              <w:spacing w:line="240"/>
              <w:jc w:val="left"/>
            </w:pPr>
            <w:r>
              <w:rPr>
                <w:color w:val="000000"/>
                <w:sz w:val="15"/>
                <w:szCs w:val="15"/>
              </w:rPr>
              <w:t xml:space="preserve">Liquidaciones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Acción comercial ya tomada. Riesgo de sesgo: refleja decisiones pasadas, no demanda (H7).</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Promociones_Comerciales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Contexto comercial por categoría. Se excluyen las promociones duplicadas, con fechas invertidas o con descuento fuera de rango (H9, H10).</w:t>
            </w:r>
          </w:p>
        </w:tc>
      </w:tr>
      <w:tr>
        <w:tc>
          <w:tcPr>
            <w:tcW w:type="dxa" w:w="2600"/>
            <w:tcMar>
              <w:top w:type="dxa" w:w="50"/>
              <w:left w:type="dxa" w:w="80"/>
              <w:bottom w:type="dxa" w:w="50"/>
              <w:right w:type="dxa" w:w="80"/>
            </w:tcMar>
          </w:tcPr>
          <w:p>
            <w:pPr>
              <w:spacing w:line="240"/>
              <w:jc w:val="left"/>
            </w:pPr>
            <w:r>
              <w:rPr>
                <w:color w:val="000000"/>
                <w:sz w:val="15"/>
                <w:szCs w:val="15"/>
              </w:rPr>
              <w:t xml:space="preserve">Proveedores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Lead time y pedido mínimo, más el proveedor como categórica: el EDA ubica el problema en la compra y Compras puede actuar por proveedor.</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Tiendas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Región, formato y m² como segmentación, no accionables. Se descarta la antigüedad por H3.</w:t>
            </w:r>
          </w:p>
        </w:tc>
      </w:tr>
      <w:tr>
        <w:tc>
          <w:tcPr>
            <w:tcW w:type="dxa" w:w="2600"/>
            <w:tcMar>
              <w:top w:type="dxa" w:w="50"/>
              <w:left w:type="dxa" w:w="80"/>
              <w:bottom w:type="dxa" w:w="50"/>
              <w:right w:type="dxa" w:w="80"/>
            </w:tcMar>
          </w:tcPr>
          <w:p>
            <w:pPr>
              <w:spacing w:line="240"/>
              <w:jc w:val="left"/>
            </w:pPr>
            <w:r>
              <w:rPr>
                <w:color w:val="000000"/>
                <w:sz w:val="15"/>
                <w:szCs w:val="15"/>
              </w:rPr>
              <w:t xml:space="preserve">Calendario</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No</w:t>
            </w:r>
          </w:p>
        </w:tc>
        <w:tc>
          <w:tcPr>
            <w:tcW w:type="dxa" w:w="4600"/>
            <w:tcMar>
              <w:top w:type="dxa" w:w="50"/>
              <w:left w:type="dxa" w:w="80"/>
              <w:bottom w:type="dxa" w:w="50"/>
              <w:right w:type="dxa" w:w="80"/>
            </w:tcMar>
          </w:tcPr>
          <w:p>
            <w:pPr>
              <w:spacing w:line="240"/>
              <w:jc w:val="left"/>
            </w:pPr>
            <w:r>
              <w:rPr>
                <w:color w:val="000000"/>
                <w:sz w:val="15"/>
                <w:szCs w:val="15"/>
              </w:rPr>
              <w:t xml:space="preserve">La versión recibida no cubre 2026 (Casa Óga envía la versión hasta ago-2026). Los eventos que marca (Hot Sale en junio, Black Friday en noviembre, Navidad en diciembre) son fijos: se derivan de la fecha para mirar el horizonte sin depender del archivo.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Historial_Precios_SKU</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Es una reconstrucción retroactiva, no un registro (P9-P10); no concuerda con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Devoluciones_SKU</w:t>
            </w:r>
          </w:p>
        </w:tc>
        <w:tc>
          <w:tcPr>
            <w:tcW w:type="dxa" w:w="1000"/>
            <w:tcMar>
              <w:top w:type="dxa" w:w="50"/>
              <w:left w:type="dxa" w:w="80"/>
              <w:bottom w:type="dxa" w:w="50"/>
              <w:right w:type="dxa" w:w="80"/>
            </w:tcMar>
          </w:tcPr>
          <w:p>
            <w:pPr>
              <w:spacing w:line="240"/>
              <w:jc w:val="left"/>
            </w:pPr>
            <w:r>
              <w:rPr>
                <w:color w:val="000000"/>
                <w:sz w:val="15"/>
                <w:szCs w:val="15"/>
              </w:rPr>
              <w:t xml:space="preserve">Baja</w:t>
            </w:r>
          </w:p>
        </w:tc>
        <w:tc>
          <w:tcPr>
            <w:tcW w:type="dxa" w:w="800"/>
            <w:tcMar>
              <w:top w:type="dxa" w:w="50"/>
              <w:left w:type="dxa" w:w="80"/>
              <w:bottom w:type="dxa" w:w="50"/>
              <w:right w:type="dxa" w:w="80"/>
            </w:tcMar>
          </w:tcPr>
          <w:p>
            <w:pPr>
              <w:spacing w:line="240"/>
              <w:jc w:val="left"/>
            </w:pPr>
            <w:r>
              <w:rPr>
                <w:color w:val="000000"/>
                <w:sz w:val="15"/>
                <w:szCs w:val="15"/>
              </w:rPr>
              <w:t xml:space="preserve">Solo limpieza</w:t>
            </w:r>
          </w:p>
        </w:tc>
        <w:tc>
          <w:tcPr>
            <w:tcW w:type="dxa" w:w="4600"/>
            <w:tcMar>
              <w:top w:type="dxa" w:w="50"/>
              <w:left w:type="dxa" w:w="80"/>
              <w:bottom w:type="dxa" w:w="50"/>
              <w:right w:type="dxa" w:w="80"/>
            </w:tcMar>
          </w:tcPr>
          <w:p>
            <w:pPr>
              <w:spacing w:line="240"/>
              <w:jc w:val="left"/>
            </w:pPr>
            <w:r>
              <w:rPr>
                <w:color w:val="000000"/>
                <w:sz w:val="15"/>
                <w:szCs w:val="15"/>
              </w:rPr>
              <w:t xml:space="preserve">Se usa para identificar el motivo de cada venta negativa y no netear las devoluciones al proveedor por «sin rotación». Como variable, no: no cubre 2026 (H12) y se apagaría en el test.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Presupuesto_Ventas_Tienda_Categoria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Parcial</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Solo el cumplimiento de los últimos 3 meses de la tienda-categoría, sin celdas inválidas (H9). El presupuesto futuro se descarta por riesgo de leakage (ver abajo).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Costo_almacenamiento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Constante por categoría: redundante con la categoría. Se usa para valuar el costo de mantener stock, no como feature.</w:t>
            </w:r>
          </w:p>
        </w:tc>
      </w:tr>
    </w:tbl>
    <w:p>
      <w:pPr>
        <w:spacing w:after="110" w:line="276" w:before="160"/>
        <w:jc w:val="both"/>
      </w:pPr>
      <w:r>
        <w:rPr>
          <w:b/>
          <w:bCs/>
          <w:sz w:val="21"/>
          <w:szCs w:val="21"/>
        </w:rPr>
        <w:t xml:space="preserve">Riesgos de sesgo. </w:t>
      </w:r>
      <w:r>
        <w:rPr>
          <w:sz w:val="21"/>
          <w:szCs w:val="21"/>
        </w:rPr>
        <w:t xml:space="preserve">El historial refleja decisiones pasadas de Casa Óga. Las liquidaciones y transferencias se hicieron caso por caso y sin protocolo: el modelo puede aprender que una posición liquidada deja de ser riesgo porque alguien ya actuó, no porque la demanda se recuperó. Además, el stock de algunas posiciones tiene errores de sincronización (H4, H5) que distorsionan su rotación. Además, 2026 proviene de otra fuente de reporte (H13): parte de la diferencia entre validación y test puede deberse al cambio de fuente y no al modelo. Se mitiga con la partición temporal y revisando la importancia de las variables de acción comercial antes de usar el modelo.</w:t>
      </w:r>
    </w:p>
    <w:p>
      <w:pPr>
        <w:spacing w:after="70" w:before="180"/>
      </w:pPr>
      <w:r>
        <w:rPr>
          <w:b/>
          <w:bCs/>
          <w:sz w:val="21"/>
          <w:szCs w:val="21"/>
        </w:rPr>
        <w:t xml:space="preserve">Variables excluidas</w:t>
      </w:r>
    </w:p>
    <w:p>
      <w:pPr>
        <w:spacing w:after="110" w:line="276"/>
        <w:jc w:val="both"/>
      </w:pPr>
      <w:r>
        <w:rPr>
          <w:sz w:val="21"/>
          <w:szCs w:val="21"/>
        </w:rPr>
        <w:t xml:space="preserve">Toda variable candidata que no entró al dataset tiene un motivo explícito. La regla central: al predecir en el mes t solo se puede usar lo que Casa Óga conoce al cierre de 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Variable o 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Motivo</w:t>
            </w:r>
          </w:p>
        </w:tc>
        <w:tc>
          <w:tcPr>
            <w:tcW w:type="dxa" w:w="5400"/>
            <w:gridSpan w:val="2"/>
            <w:shd w:fill="1F3864" w:color="auto" w:val="clear"/>
            <w:tcMar>
              <w:top w:type="dxa" w:w="50"/>
              <w:left w:type="dxa" w:w="80"/>
              <w:bottom w:type="dxa" w:w="50"/>
              <w:right w:type="dxa" w:w="80"/>
            </w:tcMar>
          </w:tcPr>
          <w:p>
            <w:pPr>
              <w:spacing w:line="240"/>
              <w:jc w:val="left"/>
            </w:pPr>
            <w:r>
              <w:rPr>
                <w:b/>
                <w:bCs/>
                <w:color w:val="FFFFFF"/>
                <w:sz w:val="15"/>
                <w:szCs w:val="15"/>
              </w:rPr>
              <w:t xml:space="preserve">Detalle</w:t>
            </w:r>
          </w:p>
        </w:tc>
      </w:tr>
      <w:tr>
        <w:tc>
          <w:tcPr>
            <w:tcW w:type="dxa" w:w="2600"/>
            <w:tcMar>
              <w:top w:type="dxa" w:w="50"/>
              <w:left w:type="dxa" w:w="80"/>
              <w:bottom w:type="dxa" w:w="50"/>
              <w:right w:type="dxa" w:w="80"/>
            </w:tcMar>
          </w:tcPr>
          <w:p>
            <w:pPr>
              <w:spacing w:line="240"/>
              <w:jc w:val="left"/>
            </w:pPr>
            <w:r>
              <w:rPr>
                <w:color w:val="000000"/>
                <w:sz w:val="15"/>
                <w:szCs w:val="15"/>
              </w:rPr>
              <w:t xml:space="preserve">Ventas y stock de t+1 a t+3</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Son los datos con los que se construye el target.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Liquidaciones, transferencias y OC posteriores a t</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Son reacciones al sobrestock que el modelo tiene que anticipar. Solo se usan las ocurridas hasta t y las OC ya pedidas y pendientes.</w:t>
            </w:r>
          </w:p>
        </w:tc>
      </w:tr>
      <w:tr>
        <w:tc>
          <w:tcPr>
            <w:tcW w:type="dxa" w:w="2600"/>
            <w:tcMar>
              <w:top w:type="dxa" w:w="50"/>
              <w:left w:type="dxa" w:w="80"/>
              <w:bottom w:type="dxa" w:w="50"/>
              <w:right w:type="dxa" w:w="80"/>
            </w:tcMar>
          </w:tcPr>
          <w:p>
            <w:pPr>
              <w:spacing w:line="240"/>
              <w:jc w:val="left"/>
            </w:pPr>
            <w:r>
              <w:rPr>
                <w:color w:val="000000"/>
                <w:sz w:val="15"/>
                <w:szCs w:val="15"/>
              </w:rPr>
              <w:t xml:space="preserve">Estado del catálogo (Activo / Discontinuado)</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Es una foto del catálogo actual: aplicada a meses pasados revela qué productos se discontinuaron después. Solo se usa una fecha de baja anterior o igual a 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 de t+1 a t+3</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 actualiza mes a mes con la venta real (P31), por lo que puede contener lo que se quiere predecir.</w:t>
            </w:r>
          </w:p>
        </w:tc>
      </w:tr>
      <w:tr>
        <w:tc>
          <w:tcPr>
            <w:tcW w:type="dxa" w:w="2600"/>
            <w:tcMar>
              <w:top w:type="dxa" w:w="50"/>
              <w:left w:type="dxa" w:w="80"/>
              <w:bottom w:type="dxa" w:w="50"/>
              <w:right w:type="dxa" w:w="80"/>
            </w:tcMar>
          </w:tcPr>
          <w:p>
            <w:pPr>
              <w:spacing w:line="240"/>
              <w:jc w:val="left"/>
            </w:pPr>
            <w:r>
              <w:rPr>
                <w:color w:val="000000"/>
                <w:sz w:val="15"/>
                <w:szCs w:val="15"/>
              </w:rPr>
              <w:t xml:space="preserve">Promociones que empiezan después de t</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No hay evidencia de que se planifiquen con 3 meses de anticipación. Sí se usan los eventos de calendario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Antigüedad de la tienda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Seis tiendas venden antes de su fecha de apertura (H3). Se usa la antigüedad de la posición, que sale de los datos.</w:t>
            </w:r>
          </w:p>
        </w:tc>
      </w:tr>
      <w:tr>
        <w:tc>
          <w:tcPr>
            <w:tcW w:type="dxa" w:w="2600"/>
            <w:tcMar>
              <w:top w:type="dxa" w:w="50"/>
              <w:left w:type="dxa" w:w="80"/>
              <w:bottom w:type="dxa" w:w="50"/>
              <w:right w:type="dxa" w:w="80"/>
            </w:tcMar>
          </w:tcPr>
          <w:p>
            <w:pPr>
              <w:spacing w:line="240"/>
              <w:jc w:val="left"/>
            </w:pPr>
            <w:r>
              <w:rPr>
                <w:color w:val="000000"/>
                <w:sz w:val="15"/>
                <w:szCs w:val="15"/>
              </w:rPr>
              <w:t xml:space="preserve">Precio vigente según el historial</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historial es una reconstrucción retroactiva y no concuerda con las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Precio, costo y margen del catálogo (y capital, venta en pesos y descuento implícito derivados)</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catálogo guarda solo el valor actual (el sistema pisa el anterior, P10): aplicado a meses pasados es anacrónico, igual que el estado del catálogo. Se conserva solo el precio relativo a la subcategoría, que cambia poco con los ajustes de precio.</w:t>
            </w:r>
          </w:p>
        </w:tc>
      </w:tr>
      <w:tr>
        <w:tc>
          <w:tcPr>
            <w:tcW w:type="dxa" w:w="2600"/>
            <w:tcMar>
              <w:top w:type="dxa" w:w="50"/>
              <w:left w:type="dxa" w:w="80"/>
              <w:bottom w:type="dxa" w:w="50"/>
              <w:right w:type="dxa" w:w="80"/>
            </w:tcMar>
          </w:tcPr>
          <w:p>
            <w:pPr>
              <w:spacing w:line="240"/>
              <w:jc w:val="left"/>
            </w:pPr>
            <w:r>
              <w:rPr>
                <w:color w:val="000000"/>
                <w:sz w:val="15"/>
                <w:szCs w:val="15"/>
              </w:rPr>
              <w:t xml:space="preserve">Stock en tránsito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Campo sin definición documentada (H6); su señal pasa de AUC 0,67 en train a 0,50 en 2026.</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Devoluciones por motivo o tasa de devolución</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No hay devoluciones en 2026 (H12): la variable valdría cero en todo el test. Las devoluciones de clientes ya están neteadas en la venta.</w:t>
            </w:r>
          </w:p>
        </w:tc>
      </w:tr>
      <w:tr>
        <w:tc>
          <w:tcPr>
            <w:tcW w:type="dxa" w:w="2600"/>
            <w:tcMar>
              <w:top w:type="dxa" w:w="50"/>
              <w:left w:type="dxa" w:w="80"/>
              <w:bottom w:type="dxa" w:w="50"/>
              <w:right w:type="dxa" w:w="80"/>
            </w:tcMar>
          </w:tcPr>
          <w:p>
            <w:pPr>
              <w:spacing w:line="240"/>
              <w:jc w:val="left"/>
            </w:pPr>
            <w:r>
              <w:rPr>
                <w:color w:val="000000"/>
                <w:sz w:val="15"/>
                <w:szCs w:val="15"/>
              </w:rPr>
              <w:t xml:space="preserve">Temporada y feriados del Calendario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La versión recibida no cubre 2026. Se reemplaza por mes del año y eventos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 de 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Redundante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Es constante dentro de cada categoría: no agrega información a la categoría.</w:t>
            </w:r>
          </w:p>
        </w:tc>
      </w:tr>
      <w:tr>
        <w:tc>
          <w:tcPr>
            <w:tcW w:type="dxa" w:w="2600"/>
            <w:tcMar>
              <w:top w:type="dxa" w:w="50"/>
              <w:left w:type="dxa" w:w="80"/>
              <w:bottom w:type="dxa" w:w="50"/>
              <w:right w:type="dxa" w:w="80"/>
            </w:tcMar>
          </w:tcPr>
          <w:p>
            <w:pPr>
              <w:spacing w:line="240"/>
              <w:jc w:val="left"/>
            </w:pPr>
            <w:r>
              <w:rPr>
                <w:color w:val="000000"/>
                <w:sz w:val="15"/>
                <w:szCs w:val="15"/>
              </w:rPr>
              <w:t xml:space="preserve">Identificadores de tienda y SKU</w:t>
            </w:r>
          </w:p>
        </w:tc>
        <w:tc>
          <w:tcPr>
            <w:tcW w:type="dxa" w:w="1000"/>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modelo memorizaría posiciones y no podría puntuar SKUs nuevos.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Marca de costo imputado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Los 22 SKUs sin costo no aparecen en train: sería una columna constante. Queda como marca de control (P2).</w:t>
            </w:r>
          </w:p>
        </w:tc>
      </w:tr>
      <w:tr>
        <w:tc>
          <w:tcPr>
            <w:tcW w:type="dxa" w:w="2600"/>
            <w:tcMar>
              <w:top w:type="dxa" w:w="50"/>
              <w:left w:type="dxa" w:w="80"/>
              <w:bottom w:type="dxa" w:w="50"/>
              <w:right w:type="dxa" w:w="80"/>
            </w:tcMar>
          </w:tcPr>
          <w:p>
            <w:pPr>
              <w:spacing w:line="240"/>
              <w:jc w:val="left"/>
            </w:pPr>
            <w:r>
              <w:rPr>
                <w:color w:val="000000"/>
                <w:sz w:val="15"/>
                <w:szCs w:val="15"/>
              </w:rPr>
              <w:t xml:space="preserve">Datos de cliente o ticket</w:t>
            </w:r>
          </w:p>
        </w:tc>
        <w:tc>
          <w:tcPr>
            <w:tcW w:type="dxa" w:w="1000"/>
            <w:tcMar>
              <w:top w:type="dxa" w:w="50"/>
              <w:left w:type="dxa" w:w="80"/>
              <w:bottom w:type="dxa" w:w="50"/>
              <w:right w:type="dxa" w:w="80"/>
            </w:tcMar>
          </w:tcPr>
          <w:p>
            <w:pPr>
              <w:spacing w:line="240"/>
              <w:jc w:val="left"/>
            </w:pPr>
            <w:r>
              <w:rPr>
                <w:color w:val="000000"/>
                <w:sz w:val="15"/>
                <w:szCs w:val="15"/>
              </w:rPr>
              <w:t xml:space="preserve">No disponible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Ninguna de las 15 fuentes los tiene.</w:t>
            </w:r>
          </w:p>
        </w:tc>
      </w:tr>
    </w:tbl>
    <w:p>
      <w:pPr>
        <w:pStyle w:val="Heading2"/>
        <w:spacing w:after="90" w:before="220"/>
      </w:pPr>
      <w:r>
        <w:rPr>
          <w:b/>
          <w:bCs/>
          <w:color w:val="C0504D"/>
          <w:sz w:val="22"/>
          <w:szCs w:val="22"/>
        </w:rPr>
        <w:t xml:space="preserve">2.2 Transformaciones Aplicadas para Modelado</w:t>
      </w:r>
    </w:p>
    <w:p>
      <w:pPr>
        <w:spacing w:after="110" w:line="276"/>
        <w:jc w:val="both"/>
      </w:pPr>
      <w:r>
        <w:rPr>
          <w:sz w:val="21"/>
          <w:szCs w:val="21"/>
        </w:rPr>
        <w:t xml:space="preserve">Las transformaciones se aplican sobre el dataset ya corregido y se ajustan solo con el bloque de train, para que la validación y el test no aporten información al preprocesamiento. Se generan dos versiones: una sin transformar, para modelos de árboles, y otra transformada, para una regresión logística prevista como línea base explicable (el negocio exige explicabilidad).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Tipo de transformación</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Variable(s) afectada(s)</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Técnica utilizada</w:t>
            </w:r>
          </w:p>
        </w:tc>
        <w:tc>
          <w:tcPr>
            <w:tcW w:type="dxa" w:w="2000"/>
            <w:shd w:fill="1F3864" w:color="auto" w:val="clear"/>
            <w:tcMar>
              <w:top w:type="dxa" w:w="50"/>
              <w:left w:type="dxa" w:w="80"/>
              <w:bottom w:type="dxa" w:w="50"/>
              <w:right w:type="dxa" w:w="80"/>
            </w:tcMar>
          </w:tcPr>
          <w:p>
            <w:pPr>
              <w:spacing w:line="240"/>
              <w:jc w:val="left"/>
            </w:pPr>
            <w:r>
              <w:rPr>
                <w:b/>
                <w:bCs/>
                <w:color w:val="FFFFFF"/>
                <w:sz w:val="15"/>
                <w:szCs w:val="15"/>
              </w:rPr>
              <w:t xml:space="preserve">Justificación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Tratamiento de outliers / valores extremos</w:t>
            </w:r>
          </w:p>
        </w:tc>
        <w:tc>
          <w:tcPr>
            <w:tcW w:type="dxa" w:w="2200"/>
            <w:tcMar>
              <w:top w:type="dxa" w:w="50"/>
              <w:left w:type="dxa" w:w="80"/>
              <w:bottom w:type="dxa" w:w="50"/>
              <w:right w:type="dxa" w:w="80"/>
            </w:tcMar>
          </w:tcPr>
          <w:p>
            <w:pPr>
              <w:spacing w:line="240"/>
              <w:jc w:val="left"/>
            </w:pPr>
            <w:r>
              <w:rPr>
                <w:color w:val="000000"/>
                <w:sz w:val="15"/>
                <w:szCs w:val="15"/>
              </w:rPr>
              <w:t xml:space="preserve">Variables continuas de demanda, stock, abastecimiento y contexto (35), salvo la cobertura actual y la de hace 3 meses</w:t>
            </w:r>
          </w:p>
        </w:tc>
        <w:tc>
          <w:tcPr>
            <w:tcW w:type="dxa" w:w="2200"/>
            <w:tcMar>
              <w:top w:type="dxa" w:w="50"/>
              <w:left w:type="dxa" w:w="80"/>
              <w:bottom w:type="dxa" w:w="50"/>
              <w:right w:type="dxa" w:w="80"/>
            </w:tcMar>
          </w:tcPr>
          <w:p>
            <w:pPr>
              <w:spacing w:line="240"/>
              <w:jc w:val="left"/>
            </w:pPr>
            <w:r>
              <w:rPr>
                <w:color w:val="000000"/>
                <w:sz w:val="15"/>
                <w:szCs w:val="15"/>
              </w:rPr>
              <w:t xml:space="preserve">Winsorización al percentil 1 y 99, con límites calculados solo en train. La cobertura no se recorta: solo tope de 60 meses para el infinito y logaritmo (v4).</w:t>
            </w:r>
          </w:p>
        </w:tc>
        <w:tc>
          <w:tcPr>
            <w:tcW w:type="dxa" w:w="2000"/>
            <w:tcMar>
              <w:top w:type="dxa" w:w="50"/>
              <w:left w:type="dxa" w:w="80"/>
              <w:bottom w:type="dxa" w:w="50"/>
              <w:right w:type="dxa" w:w="80"/>
            </w:tcMar>
          </w:tcPr>
          <w:p>
            <w:pPr>
              <w:spacing w:line="240"/>
              <w:jc w:val="left"/>
            </w:pPr>
            <w:r>
              <w:rPr>
                <w:color w:val="000000"/>
                <w:sz w:val="15"/>
                <w:szCs w:val="15"/>
              </w:rPr>
              <w:t xml:space="preserve">Colas largas: en train, la cobertura tiene percentil 99 de 18 meses y máximo de 128. No se eliminan filas porque el EDA mostró que es asimetría real, no error (los errores ya se corrigieron en la sección 1). No se aplica a conteos con pocos valores, donde el percentil 99 anularía la variable. La cobertura queda fuera del recorte: el percentil 99 de train igualaba en 18 meses posiciones muy distintas de la zona de mayor riesgo (1,5% de las filas de train y 26,5% de sus positivos; 1,6% y 27,5% en la v3), y el logaritmo ya suaviza los extremos. Comparadas con una regresión logística de prueba, las dos variantes rinden igual (AUC en validación 0,907; PR-AUC en test 0,791 sin recorte y 0,788 con recorte) y sin recorte la cobertura conserva 7.047 valores distintos en train contra 6.778. Como el recorte no mejora el ajuste y descarta información, la v4 usa solo el logaritmo.</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Transformación de distribuciones sesgadas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24 variables con asimetría &gt; 1 en train: stock, cobertura, OC, transferencias, liquidaciones, promociones, meses sin venta, coeficiente de variación, entre otras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log(1 + x). Las variaciones de stock y de cobertura admiten negativos: logaritmo con signo.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Reduce el peso de los extremos y acerca las distribuciones a la simetría (la cobertura tenía asimetría 4,75 en train).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Normalización / escalado de variables numéricas</w:t>
            </w:r>
          </w:p>
        </w:tc>
        <w:tc>
          <w:tcPr>
            <w:tcW w:type="dxa" w:w="2200"/>
            <w:tcMar>
              <w:top w:type="dxa" w:w="50"/>
              <w:left w:type="dxa" w:w="80"/>
              <w:bottom w:type="dxa" w:w="50"/>
              <w:right w:type="dxa" w:w="80"/>
            </w:tcMar>
          </w:tcPr>
          <w:p>
            <w:pPr>
              <w:spacing w:line="240"/>
              <w:jc w:val="left"/>
            </w:pPr>
            <w:r>
              <w:rPr>
                <w:color w:val="000000"/>
                <w:sz w:val="15"/>
                <w:szCs w:val="15"/>
              </w:rPr>
              <w:t xml:space="preserve">Todas las numéricas continuas</w:t>
            </w:r>
          </w:p>
        </w:tc>
        <w:tc>
          <w:tcPr>
            <w:tcW w:type="dxa" w:w="2200"/>
            <w:tcMar>
              <w:top w:type="dxa" w:w="50"/>
              <w:left w:type="dxa" w:w="80"/>
              <w:bottom w:type="dxa" w:w="50"/>
              <w:right w:type="dxa" w:w="80"/>
            </w:tcMar>
          </w:tcPr>
          <w:p>
            <w:pPr>
              <w:spacing w:line="240"/>
              <w:jc w:val="left"/>
            </w:pPr>
            <w:r>
              <w:rPr>
                <w:color w:val="000000"/>
                <w:sz w:val="15"/>
                <w:szCs w:val="15"/>
              </w:rPr>
              <w:t xml:space="preserve">Estandarización (media 0, desvío 1) con media y desvío de train.</w:t>
            </w:r>
          </w:p>
        </w:tc>
        <w:tc>
          <w:tcPr>
            <w:tcW w:type="dxa" w:w="2000"/>
            <w:tcMar>
              <w:top w:type="dxa" w:w="50"/>
              <w:left w:type="dxa" w:w="80"/>
              <w:bottom w:type="dxa" w:w="50"/>
              <w:right w:type="dxa" w:w="80"/>
            </w:tcMar>
          </w:tcPr>
          <w:p>
            <w:pPr>
              <w:spacing w:line="240"/>
              <w:jc w:val="left"/>
            </w:pPr>
            <w:r>
              <w:rPr>
                <w:color w:val="000000"/>
                <w:sz w:val="15"/>
                <w:szCs w:val="15"/>
              </w:rPr>
              <w:t xml:space="preserve">Las escalas son muy distintas (precios en decenas de miles, conteos de 0 a 12). Lo necesita la regresión logística regularizada prevista como línea base. Los modelos de árboles usan la versión sin transformar.</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Codificación de variables categóricas (one-hot / label encoding)</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Categoría (7), subcategoría (25), región (5), formato (3), proveedor (10)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One-hot.</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Son nominales: el label encoding impondría un orden que no existe. Los identificadores de tienda y SKU no se codifican para que el modelo no memorice posiciones.</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Extracción de features desde variables temporales</w:t>
            </w:r>
          </w:p>
        </w:tc>
        <w:tc>
          <w:tcPr>
            <w:tcW w:type="dxa" w:w="2200"/>
            <w:tcMar>
              <w:top w:type="dxa" w:w="50"/>
              <w:left w:type="dxa" w:w="80"/>
              <w:bottom w:type="dxa" w:w="50"/>
              <w:right w:type="dxa" w:w="80"/>
            </w:tcMar>
          </w:tcPr>
          <w:p>
            <w:pPr>
              <w:spacing w:line="240"/>
              <w:jc w:val="left"/>
            </w:pPr>
            <w:r>
              <w:rPr>
                <w:color w:val="000000"/>
                <w:sz w:val="15"/>
                <w:szCs w:val="15"/>
              </w:rPr>
              <w:t xml:space="preserve">Fecha de corte y fecha de alta del SKU</w:t>
            </w:r>
          </w:p>
        </w:tc>
        <w:tc>
          <w:tcPr>
            <w:tcW w:type="dxa" w:w="2200"/>
            <w:tcMar>
              <w:top w:type="dxa" w:w="50"/>
              <w:left w:type="dxa" w:w="80"/>
              <w:bottom w:type="dxa" w:w="50"/>
              <w:right w:type="dxa" w:w="80"/>
            </w:tcMar>
          </w:tcPr>
          <w:p>
            <w:pPr>
              <w:spacing w:line="240"/>
              <w:jc w:val="left"/>
            </w:pPr>
            <w:r>
              <w:rPr>
                <w:color w:val="000000"/>
                <w:sz w:val="15"/>
                <w:szCs w:val="15"/>
              </w:rPr>
              <w:t xml:space="preserve">Mes del año como seno y coseno. Antigüedad del SKU en meses. Ventanas móviles de 3, 6 y 12 meses, meses consecutivos sin venta, variación del stock a 3 meses.</w:t>
            </w:r>
          </w:p>
        </w:tc>
        <w:tc>
          <w:tcPr>
            <w:tcW w:type="dxa" w:w="2000"/>
            <w:tcMar>
              <w:top w:type="dxa" w:w="50"/>
              <w:left w:type="dxa" w:w="80"/>
              <w:bottom w:type="dxa" w:w="50"/>
              <w:right w:type="dxa" w:w="80"/>
            </w:tcMar>
          </w:tcPr>
          <w:p>
            <w:pPr>
              <w:spacing w:line="240"/>
              <w:jc w:val="left"/>
            </w:pPr>
            <w:r>
              <w:rPr>
                <w:color w:val="000000"/>
                <w:sz w:val="15"/>
                <w:szCs w:val="15"/>
              </w:rPr>
              <w:t xml:space="preserve">La codificación cíclica mantiene diciembre junto a enero. Las ventanas resumen la trayectoria de la posición, que es lo que anticipa el riesgo. El mes se incluye para que el modelo verifique la estacionalidad que percibe el negocio y que el EDA no confirma.</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Tratamiento de valores faltantes remanentes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Ratios sin denominador (posiciones sin venta), variación y cobertura de hace 3 meses en posiciones con menos de 4 meses (8.176 filas), meses desde la última OC (50.105 filas sin OC previa), cumplimiento presupuestario sin presupuesto válido, eventos inexistentes.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Cobertura infinita (stock &gt; 0 sin venta neta en 12 meses: 964 filas, 654 en train): en el dataset sin transformar queda como infinito, que en el CSV se lee «inf», y la marca el indicador sin venta en 12 meses; en el transformado se lleva al tope de 60 meses (por encima del 99,9% de los valores finitos; solo 23 filas finitas lo superan) y luego al logaritmo. Las demás coberturas, con el mismo tope; cobertura de hace 3 meses igual a la actual cuando no hay dato (sin cambio); meses desde la última OC con tope de 60; tendencias en 1 (neutro) y proporciones en 0; cumplimiento y cobertura de depósito con la mediana de train; eventos ausentes en 0.</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El faltante no es un dato perdido: es un denominador en cero o la ausencia del evento. El indicador conserva esa información. El costo de los 22 SKUs ya se resolvió en la sección 1 y queda marcado con costo_imputado.</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Balanceo de clases (si aplica)</w:t>
            </w:r>
          </w:p>
        </w:tc>
        <w:tc>
          <w:tcPr>
            <w:tcW w:type="dxa" w:w="2200"/>
            <w:tcMar>
              <w:top w:type="dxa" w:w="50"/>
              <w:left w:type="dxa" w:w="80"/>
              <w:bottom w:type="dxa" w:w="50"/>
              <w:right w:type="dxa" w:w="80"/>
            </w:tcMar>
          </w:tcPr>
          <w:p>
            <w:pPr>
              <w:spacing w:line="240"/>
              <w:jc w:val="left"/>
            </w:pPr>
            <w:r>
              <w:rPr>
                <w:color w:val="000000"/>
                <w:sz w:val="15"/>
                <w:szCs w:val="15"/>
              </w:rPr>
              <w:t xml:space="preserve">Target</w:t>
            </w:r>
          </w:p>
        </w:tc>
        <w:tc>
          <w:tcPr>
            <w:tcW w:type="dxa" w:w="2200"/>
            <w:tcMar>
              <w:top w:type="dxa" w:w="50"/>
              <w:left w:type="dxa" w:w="80"/>
              <w:bottom w:type="dxa" w:w="50"/>
              <w:right w:type="dxa" w:w="80"/>
            </w:tcMar>
          </w:tcPr>
          <w:p>
            <w:pPr>
              <w:spacing w:line="240"/>
              <w:jc w:val="left"/>
            </w:pPr>
            <w:r>
              <w:rPr>
                <w:color w:val="000000"/>
                <w:sz w:val="15"/>
                <w:szCs w:val="15"/>
              </w:rPr>
              <w:t xml:space="preserve">Sin sobremuestreo. Ponderación de clases (peso de la clase positiva ≈ 42, calculado en train; 39 en la v3: sube porque no netear las devoluciones al proveedor baja la prevalencia) y umbral de decisión elegido en validación para priorizar recall.</w:t>
            </w:r>
          </w:p>
        </w:tc>
        <w:tc>
          <w:tcPr>
            <w:tcW w:type="dxa" w:w="2000"/>
            <w:tcMar>
              <w:top w:type="dxa" w:w="50"/>
              <w:left w:type="dxa" w:w="80"/>
              <w:bottom w:type="dxa" w:w="50"/>
              <w:right w:type="dxa" w:w="80"/>
            </w:tcMar>
          </w:tcPr>
          <w:p>
            <w:pPr>
              <w:spacing w:line="240"/>
              <w:jc w:val="left"/>
            </w:pPr>
            <w:r>
              <w:rPr>
                <w:color w:val="000000"/>
                <w:sz w:val="15"/>
                <w:szCs w:val="15"/>
              </w:rPr>
              <w:t xml:space="preserve">La prevalencia en train es 2,32%. SMOTE crearía posiciones sintéticas que mezclan meses y rompería la estructura temporal. El negocio prioriza recall.</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Otra: prevención de data leakage</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Todas las features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Ventanas cerradas en t. OC pendientes = pedidas y no recibidas al cierre de t. Transformaciones ajustadas solo en train. Embargo de 3 meses entre bloques. Discontinuados fuera del universo.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Garantiza que el modelo use solo información disponible al momento de predecir.</w:t>
            </w:r>
          </w:p>
        </w:tc>
      </w:tr>
    </w:tbl>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Casa Óga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Casa Óga · Entregable 2 · Parte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2 Parte B - Casa Óga</dc:title>
  <dc:creator>Grupo 1 - Casa Óga</dc:creator>
  <cp:lastModifiedBy>Un-named</cp:lastModifiedBy>
  <cp:revision>1</cp:revision>
  <dcterms:created xsi:type="dcterms:W3CDTF">2026-09-25T17:14:24.567Z</dcterms:created>
  <dcterms:modified xsi:type="dcterms:W3CDTF">2026-09-25T17:14:24.580Z</dcterms:modified>
</cp:coreProperties>
</file>

<file path=docProps/custom.xml><?xml version="1.0" encoding="utf-8"?>
<Properties xmlns="http://schemas.openxmlformats.org/officeDocument/2006/custom-properties" xmlns:vt="http://schemas.openxmlformats.org/officeDocument/2006/docPropsVTypes"/>
</file>