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60"/>
        <w:jc w:val="center"/>
      </w:pPr>
      <w:r>
        <w:rPr>
          <w:color w:val="808080"/>
          <w:sz w:val="20"/>
          <w:szCs w:val="20"/>
        </w:rPr>
        <w:t xml:space="preserve">Factibilidad de Proyectos Data Driven — 2C 2026</w:t>
      </w:r>
    </w:p>
    <w:p>
      <w:pPr>
        <w:spacing w:after="220"/>
        <w:jc w:val="center"/>
      </w:pPr>
      <w:r>
        <w:rPr>
          <w:color w:val="808080"/>
          <w:sz w:val="20"/>
          <w:szCs w:val="20"/>
        </w:rPr>
        <w:t xml:space="preserve">Entregable Nro 2</w:t>
      </w:r>
    </w:p>
    <w:p>
      <w:pPr>
        <w:spacing w:after="50" w:before="140"/>
        <w:jc w:val="center"/>
      </w:pPr>
      <w:r>
        <w:rPr>
          <w:b/>
          <w:bCs/>
          <w:sz w:val="38"/>
          <w:szCs w:val="38"/>
        </w:rPr>
        <w:t xml:space="preserve">Casa Óga — Retail de Hogar y Decoración</w:t>
      </w:r>
    </w:p>
    <w:p>
      <w:pPr>
        <w:spacing w:after="280"/>
        <w:jc w:val="center"/>
      </w:pPr>
      <w:r>
        <w:rPr>
          <w:color w:val="C0504D"/>
          <w:sz w:val="24"/>
          <w:szCs w:val="24"/>
        </w:rPr>
        <w:t xml:space="preserve">Entregable 2 · Parte A: Alcance, Analítica Descriptiva y Evaluación de Calidad de Datos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2800"/>
      </w:tblGrid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Integrante(s)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Nombre y legajo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Rol asignado en esta fase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Gerónimo Fasce — 64401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Gianfranco Di Claudio — 64505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Matías Fleischer — 65616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Simón Volpato Escandarani — [legajo]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Santiago Javier Hernández — [legajo]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Dashboard y visualización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Fecha de entrega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__/__/2026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Versión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hd w:fill="F2F2F2" w:color="auto" w:val="clear"/>
        <w:spacing w:after="150" w:before="300"/>
      </w:pPr>
      <w:r>
        <w:rPr>
          <w:b/>
          <w:bCs/>
          <w:sz w:val="28"/>
          <w:szCs w:val="28"/>
        </w:rPr>
        <w:t xml:space="preserve">Sección 1 · Introducción y alcance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1.1 Propósito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El presente informe tiene como objetivo construir un primer panorama de analítica descriptiva y evaluar la calidad de las fuentes de datos de Casa Óga —ya relevadas en el Entregable 1—, empresa de retail de hogar y decoración. Se presentan las principales métricas y patrones del negocio, la calidad de cada fuente según dimensiones clave, junto con los hallazgos y el plan de mejora correspondiente.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1.2 Alcance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Este documento cubre: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Elaboración de un informe de analítica descriptiva (EDA) que resuma volumen, estadísticas clave, evolución temporal y principales patrones de las fuentes relevadas.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Evaluación de calidad de las fuentes de datos relevadas en el Entregable 1, según siete dimensiones clave: completitud, consistencia, exactitud, actualidad, validez, unicidad y trazabilidad.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Hallazgos, gaps y plan de mejora de calidad de datos.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El análisis se realizó sobre las 15 fuentes de datos disponibles, con corte en diciembre de 2025, que es el último mes cubierto por las fuentes transaccionales principales (Ventas, Stock, Liquidaciones y Devoluciones). Los datos se analizaron sin modificar los archivos de origen.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1.3 Definiciones y Términos Clave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A continuación se listan los términos centrales utilizados en el informe: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Fuente de datos: Sistema, plataforma o mecanismo desde el cual se originan o recolectan datos.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Calidad de datos: Grado en que los datos satisfacen los requisitos para su uso previsto.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Posición SKU–tienda: Combinación de un producto y una tienda en un mes determinado. Es la unidad mínima de análisis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Cobertura de inventario: Cantidad de meses de venta que representa el stock disponible, al ritmo de venta de referencia.</w:t>
      </w:r>
    </w:p>
    <w:p>
      <w:pPr>
        <w:pStyle w:val="Heading1"/>
        <w:shd w:fill="F2F2F2" w:color="auto" w:val="clear"/>
        <w:spacing w:after="150" w:before="300"/>
      </w:pPr>
      <w:r>
        <w:rPr>
          <w:b/>
          <w:bCs/>
          <w:sz w:val="28"/>
          <w:szCs w:val="28"/>
        </w:rPr>
        <w:t xml:space="preserve">Sección 2 · Informe de Analítica Descriptiva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2.1 Objetivo y Enfoque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Antes de evaluar la calidad de los datos, el equipo debe construir un primer panorama cuantitativo de las fuentes relevadas en el Entregable 1 (analítica descriptiva / EDA). Este panorama sirve como insumo tanto para detectar problemas de calidad (outliers, inconsistencias, valores fuera de rango) como para alimentar el dashboard y las decisiones de negocio del caso.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El análisis se ejecutó sobre las 15 fuentes en su estado original. Para las métricas de negocio se aplicó el criterio de consolidación definido en el Entregable 1: deduplicación por clave conservando la primera ocurrencia, corrección de valores negativos y normalización de las variantes de categoría.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2.2 Métricas Clave a Relevar</w:t>
      </w:r>
    </w:p>
    <w:p>
      <w:pPr>
        <w:spacing w:after="110" w:line="276"/>
        <w:jc w:val="both"/>
      </w:pPr>
      <w:r>
        <w:rPr>
          <w:i/>
          <w:iCs/>
          <w:color w:val="808080"/>
          <w:sz w:val="21"/>
          <w:szCs w:val="21"/>
        </w:rPr>
        <w:t xml:space="preserve">La siguiente tabla orienta qué tipo de análisis descriptivo realizar sobre las fuentes de datos del caso. No es necesario aplicar los cinco elementos a todas las fuentes: priorizar los que sean más relevantes según las preguntas de negocio definidas en el Entregable 1.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Elemento del informe</w:t>
            </w:r>
          </w:p>
        </w:tc>
        <w:tc>
          <w:tcPr>
            <w:tcW w:type="dxa" w:w="36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Qué debe incluir</w:t>
            </w:r>
          </w:p>
        </w:tc>
        <w:tc>
          <w:tcPr>
            <w:tcW w:type="dxa" w:w="32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Ejemplos de preguntas que responde</w:t>
            </w:r>
          </w:p>
        </w:tc>
      </w:tr>
      <w:tr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Perfil general del dataset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N° de registros, período cubierto, granularidad (día/mes, SKU/categoría/tienda) y cobertura por tienda, canal o categoría.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¿Cuántos registros hay? ¿Qué rango de fechas cubre? ¿Qué nivel de detalle tiene?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Estadísticas descriptivas de variables clave</w:t>
            </w:r>
          </w:p>
        </w:tc>
        <w:tc>
          <w:tcPr>
            <w:tcW w:type="dxa" w:w="3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Media, mediana, mínimo, máximo y percentiles de las variables numéricas centrales del caso.</w:t>
            </w:r>
          </w:p>
        </w:tc>
        <w:tc>
          <w:tcPr>
            <w:tcW w:type="dxa" w:w="32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¿Cuál es el promedio y la dispersión de la variable? ¿Hay valores atípicos (outliers)?</w:t>
            </w:r>
          </w:p>
        </w:tc>
      </w:tr>
      <w:tr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Evolución temporal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Series de tiempo de las métricas principales, mes a mes o según la granularidad disponible.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¿Cómo evoluciona la métrica en el tiempo? ¿Hay estacionalidad?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Distribución por dimensiones de negocio</w:t>
            </w:r>
          </w:p>
        </w:tc>
        <w:tc>
          <w:tcPr>
            <w:tcW w:type="dxa" w:w="3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Desagregación por tienda, región, categoría, canal o segmento.</w:t>
            </w:r>
          </w:p>
        </w:tc>
        <w:tc>
          <w:tcPr>
            <w:tcW w:type="dxa" w:w="32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¿Qué tiendas, categorías o segmentos concentran mayor volumen? (Pareto 80/20)</w:t>
            </w:r>
          </w:p>
        </w:tc>
      </w:tr>
      <w:tr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Relaciones entre variables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Cruces simples entre variables que tengan sentido de negocio.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¿Existen relaciones esperables? ¿Aparecen inconsistencias al cruzarlas?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2.3 Resultados y Hallazgos Preliminares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Los resultados se organizan según los cinco elementos de la tabla anterior. La columna de referencia indica el gráfico del Anexo que acompaña cada fila.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3100"/>
        <w:gridCol w:w="600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Métrica / variable analizada</w:t>
            </w:r>
          </w:p>
        </w:tc>
        <w:tc>
          <w:tcPr>
            <w:tcW w:type="dxa" w:w="3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Resultado principal</w:t>
            </w:r>
          </w:p>
        </w:tc>
        <w:tc>
          <w:tcPr>
            <w:tcW w:type="dxa" w:w="31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Insight / observación relevante</w:t>
            </w:r>
          </w:p>
        </w:tc>
        <w:tc>
          <w:tcPr>
            <w:tcW w:type="dxa" w:w="6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Anexo</w:t>
            </w:r>
          </w:p>
        </w:tc>
      </w:tr>
      <w:tr>
        <w:tc>
          <w:tcPr>
            <w:tcW w:type="dxa" w:w="25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 · Perfil general del dataset</w:t>
            </w:r>
          </w:p>
        </w:tc>
        <w:tc>
          <w:tcPr>
            <w:tcW w:type="dxa" w:w="34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1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Volumen de las fuentes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 fuentes relevadas. Las dos mayores (Ventas y Stock) tienen 239.336 filas cada una; el resto va de 7 a 23.858 registros.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granularidad mes · tienda · SKU permite trabajar a nivel de posición, que es la unidad de decisión del proyecto.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Período cubierto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Fuentes transaccionales principales: ene-2022 a dic-2025 (48 meses). Seis fuentes se extienden hasta 2026 (Presupuesto y Promociones a ago-26, Transferencias a sep-26).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corte de análisis queda fijado en dic-2025, que es hasta donde llegan Ventas y Stock. Los registros de 2026 quedan fuera del período comparable.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Cobertura del catálogo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800 SKUs únicos (el archivo tiene 815 filas, con 15 identificadores repetidos), 7 categorías, 25 subcategorías, 28 tiendas y 10 proveedores. De esos 800 SKUs, 798 registran ventas en el período y 2 nunca tuvieron movimiento.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Integridad referencial completa: todos los SKUs de las 8 tablas transaccionales existen en el catálogo y todas las tiendas existen en Tiendas. La diferencia entre 800 y 798 explica por qué los análisis de venta se calculan sobre 798 SKUs.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Nulos por fuente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Sin nulos en 11 de las 15 fuentes. Los casos restantes son esperables (fecha de baja en productos activos, evento en días sin evento) salvo 22 SKUs sin costo unitario.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ausencia de costo en 22 SKUs impide calcular margen y capital inmovilizado para esos productos, y no se puede completar desde ninguna otra fuente.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B · Estadísticas descriptivas de variables clave</w:t>
            </w:r>
          </w:p>
        </w:tc>
        <w:tc>
          <w:tcPr>
            <w:tcW w:type="dxa" w:w="34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1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Unidades vendidas por posición (2025)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Media 3,21 · mediana 2 · p75 4 · p95 11 · p99 17 · máximo 31.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Distribución fuertemente asimétrica con cola larga. Los 20.785 outliers por criterio IQR responden a esa asimetría, no a errores de carga.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G12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Venta neta por posición (2025)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Media $140.114 · mediana $65.048 · p95 $551.997 · máximo $1,94 M.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media duplica a la mediana: pocas posiciones concentran montos altos. Conviene usar mediana para valores de referencia.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G12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Stock disponible por posición (dic-2025)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Media 16,8 · mediana 10 · p95 54 · máximo 134 unidades. 7.993 posiciones con stock mayor a cero.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stock también es asimétrico. 647 SKUs tienen stock, de los cuales 13 ya figuran como discontinuados en el catálogo.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G12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Filas con cero unidades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18,96% de las filas de venta registran 0 unidades vendidas.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Un cero no siempre significa ausencia de demanda: 1.790 filas tienen venta mayor a cero con stock en cero el mismo mes, lo que indica que también hay quiebres de stock.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 · Evolución temporal</w:t>
            </w:r>
          </w:p>
        </w:tc>
        <w:tc>
          <w:tcPr>
            <w:tcW w:type="dxa" w:w="34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1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Venta total y por año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$32.538,4 M y 750.538 unidades en 2022-2025. Por año: $1.812 M · $6.323 M (+249%) · $10.669 M (+69%) · $13.734 M (+29%).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crecimiento es sostenido pero desacelera año a año. Precio medio por unidad del período: $43.353.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Origen del crecimiento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posiciones con venta pasaron de 17 (ene-22) a 8.073 (dic-25). Las unidades vendidas por posición se mantienen planas en ~3,2 durante todo el período.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crecimiento se explica por la expansión del catálogo y de la red de tiendas, no por mayor rotación de cada producto. Las posiciones con venta (8.073) no coinciden con las posiciones con stock (7.993) porque son universos distintos: una posición puede vender y quedar sin stock, o tener stock sin haber vendido ese mes.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Estacionalidad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Ajustando la serie por su tendencia, el índice mensual se ubica entre 101 y 105 en todos los meses. En 2025 varía entre 96 y 104.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se detecta estacionalidad mensual relevante, ni efecto diferenciado de Hot Sale, Black Friday o Navidad a nivel agregado. Los picos aparentes corresponden a la tendencia de crecimiento.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G4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Desaceleración 2025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crecimiento interanual cae de +47% (ene-25) a +6,6% (dic-25). Las unidades mensuales se mantienen planas (25.096 en enero, 25.781 en diciembre).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2025 es el primer año sin expansión significativa, lo que lo vuelve el período más representativo para dimensionar la operación actual.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</w:tr>
      <w:tr>
        <w:tc>
          <w:tcPr>
            <w:tcW w:type="dxa" w:w="25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D · Distribución por dimensiones de negocio</w:t>
            </w:r>
          </w:p>
        </w:tc>
        <w:tc>
          <w:tcPr>
            <w:tcW w:type="dxa" w:w="34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1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Participación por categoría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Decoración 22,8% · Cocina y mesa 19,1% · Iluminación 14,2% · Textil hogar 12,7% · Muebles 11,8% · Organización 11,1% · Baño 8,4%.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margen teórico de lista es parejo entre categorías (43,8% a 46,0%; promedio 44,9%), por lo que el mix no se explica por diferencias de rentabilidad.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G5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Participación por región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AMBA 39,3% con 11 tiendas · Centro 21,9% (6) · NOA 17,9% (5) · Cuyo 17,2% (5) · Patagonia 3,7% (1).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participación regional es proporcional a la cantidad de tiendas; no hay regiones con rendimiento desalineado respecto de su presencia.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G6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Participación por tienda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Muy pareja: entre 3,0% y 4,1% cada tienda. Máximo T24 con $1.342 M, mínimo T14 con $981 M. Correlación entre venta y m² de venta: −0,24.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tamaño del local no explica la venta. La homogeneidad entre tiendas sugiere que las diferencias de desempeño observadas son de baja magnitud.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G8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Concentración del catálogo (Pareto)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248 de 798 SKUs con venta (31,1%) explican el 80% de la facturación. El decil superior concentra el 48,7%.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Existe una cola larga de productos de baja contribución, que es el universo natural sobre el cual aplicar el análisis de riesgo de baja rotación.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G7</w:t>
            </w:r>
          </w:p>
        </w:tc>
      </w:tr>
      <w:tr>
        <w:tc>
          <w:tcPr>
            <w:tcW w:type="dxa" w:w="25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 · Relaciones entre variables</w:t>
            </w:r>
          </w:p>
        </w:tc>
        <w:tc>
          <w:tcPr>
            <w:tcW w:type="dxa" w:w="34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1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shd w:fill="DDE4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Unidades vendidas vs. stock disponible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Correlación fila a fila de 0,77.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Relación fuerte y esperable: se repone en función de lo que rota. Las posiciones que se apartan de esa relación son candidatas a revisión.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Cobertura de inventario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Entre 5,2 y 5,3 meses de forma estable en todo el período, según cuatro definiciones alternativas de cálculo.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cobertura se mantiene estable pese a que el negocio multiplicó su tamaño por dos entre 2023 y 2025: el abastecimiento acompaña a la venta.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G3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Presupuesto vs. venta real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Cumplimiento de 90,6% (2022), 91,0%, 91,5% y 91,7% (2025). Por categoría entre 90,6% y 92,1%; por tienda entre 90,1% y 92,2%.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 uniformidad del cumplimiento en todos los niveles de apertura sugiere que el presupuesto se construye como un porcentaje de la venta esperada más que como una meta independiente.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G9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Devoluciones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2.317 devoluciones por 9.583 unidades, equivalentes a ~1,3% de las unidades vendidas, estable por año.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Los motivos se reparten de forma pareja: dañado en logística 2.067 uds · sin rotación 2.013 · devolución de cliente 1.930 · error de picking 1.787 · defecto de fabricación 1.786.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G10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Lead time de proveedores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lead time real de las órdenes de compra coincide con el declarado en Proveedores (real = declarado + 1 día, rango ±4). Ninguna orden por debajo del pedido mínimo.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condiciones comerciales declaradas se cumplen en la práctica, lo que habilita usar el lead time como variable de planificación.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G11</w:t>
            </w:r>
          </w:p>
        </w:tc>
      </w:tr>
      <w:tr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Precio de venta vs. historial de precios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precio implícito de las ventas se ubica entre 85% y 100% del precio de lista actual del catálogo en el 100% de las filas. Comparado con el precio vigente según Historial_Precios, supera 1,5 veces ese valor en el 39% de los casos.</w:t>
            </w:r>
          </w:p>
        </w:tc>
        <w:tc>
          <w:tcPr>
            <w:tcW w:type="dxa" w:w="3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ventas parecen valuadas con el precio vigente actual y no con el precio histórico de cada mes, lo que limita cualquier análisis de elasticidad o de impacto de descuentos.</w:t>
            </w:r>
          </w:p>
        </w:tc>
        <w:tc>
          <w:tcPr>
            <w:tcW w:type="dxa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Stock en tránsito vs. transferencias</w:t>
            </w:r>
          </w:p>
        </w:tc>
        <w:tc>
          <w:tcPr>
            <w:tcW w:type="dxa" w:w="3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 dic-2025 el stock en tránsito registra 23.528 unidades, mientras que las transferencias en curso a fin de mes explican 868. Correlación de 0,89 entre ambas series.</w:t>
            </w:r>
          </w:p>
        </w:tc>
        <w:tc>
          <w:tcPr>
            <w:tcW w:type="dxa" w:w="31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series se mueven juntas pero difieren en escala aproximadamente 20 veces: el campo de tránsito debe incluir mercadería de otro origen, probablemente órdenes de compra pendientes de recepción.</w:t>
            </w:r>
          </w:p>
        </w:tc>
        <w:tc>
          <w:tcPr>
            <w:tcW w:type="dxa" w:w="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pStyle w:val="Heading1"/>
        <w:shd w:fill="F2F2F2" w:color="auto" w:val="clear"/>
        <w:spacing w:after="150" w:before="300"/>
      </w:pPr>
      <w:r>
        <w:rPr>
          <w:b/>
          <w:bCs/>
          <w:sz w:val="28"/>
          <w:szCs w:val="28"/>
        </w:rPr>
        <w:t xml:space="preserve">Sección 3 · Evaluación de Calidad de Datos</w:t>
      </w:r>
    </w:p>
    <w:p>
      <w:pPr>
        <w:pStyle w:val="Heading2"/>
        <w:spacing w:after="90" w:before="220"/>
      </w:pPr>
      <w:r>
        <w:rPr>
          <w:b/>
          <w:bCs/>
          <w:color w:val="C0504D"/>
          <w:sz w:val="22"/>
          <w:szCs w:val="22"/>
        </w:rPr>
        <w:t xml:space="preserve">3.1 Evaluación por Fuente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La siguiente tabla muestra el mapa resultante de la evaluación cualitativa de cada fuente según las dimensiones. Los colores indican los problemas y la criticidad: verde (Sin Problemas), amarillo (Issue Menor), rojo (Issue Crítico).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000"/>
        <w:gridCol w:w="1050"/>
        <w:gridCol w:w="950"/>
        <w:gridCol w:w="1000"/>
        <w:gridCol w:w="900"/>
        <w:gridCol w:w="900"/>
        <w:gridCol w:w="1000"/>
      </w:tblGrid>
      <w:tr>
        <w:trPr>
          <w:tblHeader/>
        </w:trPr>
        <w:tc>
          <w:tcPr>
            <w:tcW w:type="dxa" w:w="205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Fuente de Datos</w:t>
            </w:r>
          </w:p>
        </w:tc>
        <w:tc>
          <w:tcPr>
            <w:tcW w:type="dxa" w:w="10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Completitud</w:t>
            </w:r>
          </w:p>
        </w:tc>
        <w:tc>
          <w:tcPr>
            <w:tcW w:type="dxa" w:w="105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Consistencia</w:t>
            </w:r>
          </w:p>
        </w:tc>
        <w:tc>
          <w:tcPr>
            <w:tcW w:type="dxa" w:w="95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Exactitud</w:t>
            </w:r>
          </w:p>
        </w:tc>
        <w:tc>
          <w:tcPr>
            <w:tcW w:type="dxa" w:w="10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Actualidad</w:t>
            </w:r>
          </w:p>
        </w:tc>
        <w:tc>
          <w:tcPr>
            <w:tcW w:type="dxa" w:w="9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Validez</w:t>
            </w:r>
          </w:p>
        </w:tc>
        <w:tc>
          <w:tcPr>
            <w:tcW w:type="dxa" w:w="9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Unicidad</w:t>
            </w:r>
          </w:p>
        </w:tc>
        <w:tc>
          <w:tcPr>
            <w:tcW w:type="dxa" w:w="10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Trazabilidad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Ventas_SKU_tienda_mensual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Stock_SKU_tienda_mensual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Productos_catalogo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Tiendas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Calendario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Liquidaciones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Devoluciones_SKU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Historial_Precios_SKU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Ordenes_Compra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Presupuesto_Ventas_Tienda_Categoria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Promociones_Comerciales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10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0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Proveedores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Stock_Deposito_Central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Transferencias_Stock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C7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0006"/>
                <w:sz w:val="15"/>
                <w:szCs w:val="15"/>
              </w:rPr>
              <w:t xml:space="preserve">Rojo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</w:tr>
      <w:t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Costo_almacenamiento</w:t>
            </w:r>
          </w:p>
        </w:tc>
        <w:tc>
          <w:tcPr>
            <w:tcW w:type="dxa" w:w="10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5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5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900"/>
            <w:shd w:fill="C6EFC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006100"/>
                <w:sz w:val="15"/>
                <w:szCs w:val="15"/>
              </w:rPr>
              <w:t xml:space="preserve">Verde</w:t>
            </w:r>
          </w:p>
        </w:tc>
        <w:tc>
          <w:tcPr>
            <w:tcW w:type="dxa" w:w="1000"/>
            <w:shd w:fill="FFEB9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b/>
                <w:bCs/>
                <w:color w:val="9C5700"/>
                <w:sz w:val="15"/>
                <w:szCs w:val="15"/>
              </w:rPr>
              <w:t xml:space="preserve">Amarillo</w:t>
            </w:r>
          </w:p>
        </w:tc>
      </w:tr>
    </w:tbl>
    <w:p>
      <w:pPr>
        <w:spacing w:after="70" w:before="180"/>
      </w:pPr>
      <w:r>
        <w:rPr>
          <w:b/>
          <w:bCs/>
          <w:sz w:val="21"/>
          <w:szCs w:val="21"/>
        </w:rPr>
        <w:t xml:space="preserve">Fundamento de las calificaciones críticas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Se detallan a continuación los hallazgos que motivaron las calificaciones en rojo.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Fuente y dimensión</w:t>
            </w:r>
          </w:p>
        </w:tc>
        <w:tc>
          <w:tcPr>
            <w:tcW w:type="dxa" w:w="66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Hallazgo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Ventas — Unicidad
Stock — Unicidad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2.378 combinaciones (mes, tienda, SKU) duplicadas en cada fuente. En Ventas, 2.322 presentan valores distintos entre sí y 811 tienen un registro en cero. Todas corresponden a los 15 SKUs duplicados del catálogo y se distribuyen en los cuatro años.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Ventas — Consistencia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10.903 filas por $1.475,9 M registran venta en seis tiendas con anterioridad a su fecha de apertura declarada. El caso extremo es T25 Córdoba, con 36 meses de venta previos a la apertura.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Ventas — Exactitud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2.317 filas con unidades y venta neta negativas de forma simultánea.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Stock — Consistencia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1.790 filas registran venta mayor a cero con stock en cero el mismo mes, y 4.282 registran venta superior al stock disponible.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Stock — Exactitud y Validez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1.209 registros con stock disponible negativo, con un mínimo de −152 unidades, valor físicamente imposible.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Productos_catalogo — Unicidad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 identificadores de producto aparecen en dos filas, idénticas en todos sus atributos salvo el proveedor.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Tiendas — Consistencia y Exactitud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fechas de apertura de seis tiendas son posteriores a los primeros registros de venta de esas mismas tiendas.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Liquidaciones — Consistencia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79 de las 93 liquidaciones con motivo «Discontinuación» corresponden a SKUs que figuran como Activos en el catálogo. 278 de las 496 liquidaciones con tienda asignada recaen sobre posiciones sin stock en ese mes.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Historial_Precios — Consistencia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precio implícito de las ventas supera en más de 1,5 veces al precio vigente según el historial en el 39% de las filas, llegando hasta 4,9 veces.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Presupuesto — Consistencia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cumplimiento se mantiene entre 90% y 92% en todos los niveles de apertura (año, categoría, tienda y celda individual), una uniformidad que no es esperable en un presupuesto fijado de forma independiente.</w:t>
            </w:r>
          </w:p>
        </w:tc>
      </w:tr>
      <w:t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Promociones — Exactitud, Validez y Unicidad</w:t>
            </w:r>
          </w:p>
        </w:tc>
        <w:tc>
          <w:tcPr>
            <w:tcW w:type="dxa" w:w="6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Descuentos de 150% y de −15%; dos promociones con fecha de fin anterior a la de inicio; dos identificadores repetidos, uno de ellos con valores de descuento distintos.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Transferencias — Consistencia</w:t>
            </w:r>
          </w:p>
        </w:tc>
        <w:tc>
          <w:tcPr>
            <w:tcW w:type="dxa" w:w="6600"/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Las transferencias no explican el volumen del campo stock_en_tránsito: 868 unidades contra 23.528 registradas en Stock a dic-2025. Además, 1.803 de las 4.200 transferencias tienen como destino una posición sin registro de stock en ese mes.</w:t>
            </w:r>
          </w:p>
        </w:tc>
      </w:tr>
    </w:tbl>
    <w:p>
      <w:pPr>
        <w:spacing w:after="70" w:before="180"/>
      </w:pPr>
      <w:r>
        <w:rPr>
          <w:b/>
          <w:bCs/>
          <w:sz w:val="21"/>
          <w:szCs w:val="21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Completitud: presencia de valores en los campos requeridos. No se penalizaron los nulos estructuralmente esperables, como la fecha de baja en productos activos.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Consistencia: coherencia de una fuente con las demás y ausencia de contradicciones internas.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Exactitud: correspondencia de los valores con la realidad que representan, incluyendo valores fuera de rango.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Actualidad: vigencia del dato respecto del corte de análisis de diciembre de 2025.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Validez: cumplimiento de formatos, rangos y reglas de dominio.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Unicidad: ausencia de registros duplicados según la clave de la fuente.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sz w:val="21"/>
          <w:szCs w:val="21"/>
        </w:rPr>
        <w:t xml:space="preserve">Trazabilidad: posibilidad de identificar el origen del dato y reconstruir su recorrido.</w:t>
      </w:r>
    </w:p>
    <w:p>
      <w:r>
        <w:br w:type="page"/>
      </w:r>
    </w:p>
    <w:p>
      <w:pPr>
        <w:pStyle w:val="Heading1"/>
        <w:shd w:fill="F2F2F2" w:color="auto" w:val="clear"/>
        <w:spacing w:after="150" w:before="300"/>
      </w:pPr>
      <w:r>
        <w:rPr>
          <w:b/>
          <w:bCs/>
          <w:sz w:val="28"/>
          <w:szCs w:val="28"/>
        </w:rPr>
        <w:t xml:space="preserve">Anexo · Gráficos del análisis descriptivo</w:t>
      </w:r>
    </w:p>
    <w:p>
      <w:pPr>
        <w:spacing w:after="110" w:line="276"/>
        <w:jc w:val="both"/>
      </w:pPr>
      <w:r>
        <w:rPr>
          <w:sz w:val="21"/>
          <w:szCs w:val="21"/>
        </w:rPr>
        <w:t xml:space="preserve">Los gráficos se generaron sobre las 15 fuentes de datos con corte en diciembre de 2025.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G1 · Evolución mensual de la venta neta y de las unidades vendidas (2022-2025)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G2 · Unidades vendidas y stock disponible por posición SKU–tienda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G3 · Cobertura de inventario en meses, según distintas definiciones de cálculo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G4 · Índice de estacionalidad mensual, antes y después de ajustar por tendencia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G5 · Participación en la venta frente a participación en el catálogo, por categoría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G6 · Distribución de la venta por región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G7 · Concentración de la venta por SKU (análisis de Pareto)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G8 · Venta por tienda y relación con la superficie de venta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G9 · Presupuesto frente a venta real, evolución mensual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G10 · Devoluciones por motivo, en unidades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G11 · Lead time real de las órdenes de compra frente al declarado por proveedor</w:t>
      </w:r>
    </w:p>
    <w:p>
      <w:pPr>
        <w:spacing w:after="40" w:before="14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08080"/>
          <w:sz w:val="17"/>
          <w:szCs w:val="17"/>
        </w:rPr>
        <w:t xml:space="preserve">G12 · Distribución de unidades vendidas, venta neta y stock por posición</w:t>
      </w:r>
    </w:p>
    <w:sectPr>
      <w:headerReference w:type="default" r:id="rId7"/>
      <w:footerReference w:type="default" r:id="rId8"/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Casa Óga — Pág.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Casa Óga · Entregable 2 · Parte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e57ea4d62e7670e153b568bb59423ea5f5e5f.png"/><Relationship Id="rId10" Type="http://schemas.openxmlformats.org/officeDocument/2006/relationships/image" Target="media/5efee5f5e83a66ec17dc2d0b49094740c3ae725b.png"/><Relationship Id="rId11" Type="http://schemas.openxmlformats.org/officeDocument/2006/relationships/image" Target="media/66082fd6fc6b747fa2f0ec7835af5b8a45add1bc.png"/><Relationship Id="rId12" Type="http://schemas.openxmlformats.org/officeDocument/2006/relationships/image" Target="media/a590b9d92f515e4ea5e70b8c342fda93b512f125.png"/><Relationship Id="rId13" Type="http://schemas.openxmlformats.org/officeDocument/2006/relationships/image" Target="media/6a99e6efc5e6f0b63d6fdd44296bb920cb001ec2.png"/><Relationship Id="rId14" Type="http://schemas.openxmlformats.org/officeDocument/2006/relationships/image" Target="media/be250f2c7226c6ef7ef56b6c8e116863b27f002d.png"/><Relationship Id="rId15" Type="http://schemas.openxmlformats.org/officeDocument/2006/relationships/image" Target="media/857fa46e8a6cf1ca1431c73391903bb5b1011920.png"/><Relationship Id="rId16" Type="http://schemas.openxmlformats.org/officeDocument/2006/relationships/image" Target="media/7fe39ad76959368ce5391c6e74970d5a4a3e4ced.png"/><Relationship Id="rId17" Type="http://schemas.openxmlformats.org/officeDocument/2006/relationships/image" Target="media/7b8473f5cdc0907a4f70376e796e2fc2dbc82d50.png"/><Relationship Id="rId18" Type="http://schemas.openxmlformats.org/officeDocument/2006/relationships/image" Target="media/d7184f5a6233aa99b0997a8443ffcbe01f356b86.png"/><Relationship Id="rId19" Type="http://schemas.openxmlformats.org/officeDocument/2006/relationships/image" Target="media/2a04e0e12a8beff8a22bfa0dbcb3baf90af718fc.png"/><Relationship Id="rId20" Type="http://schemas.openxmlformats.org/officeDocument/2006/relationships/image" Target="media/1129532715dbe3e759f9e6ff2cc67df6d0ab65d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2 Parte A - Casa Óga</dc:title>
  <dc:creator>Grupo 1 - Casa Óga</dc:creator>
  <cp:lastModifiedBy>Un-named</cp:lastModifiedBy>
  <cp:revision>1</cp:revision>
  <dcterms:created xsi:type="dcterms:W3CDTF">2026-09-20T23:28:06.462Z</dcterms:created>
  <dcterms:modified xsi:type="dcterms:W3CDTF">2026-09-20T23:28:06.463Z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