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Casa Óga — Preguntas abiertas de calidad de datos (Ronda 2)</w:t>
      </w:r>
    </w:p>
    <w:p>
      <w:pPr>
        <w:spacing w:after="80"/>
        <w:jc w:val="center"/>
      </w:pPr>
      <w:r>
        <w:rPr>
          <w:b w:val="0"/>
          <w:i/>
        </w:rPr>
        <w:t>Proyecto Data Driven · Grupo 1 · Entregable 2 — Evaluación de calidad de datos</w:t>
      </w:r>
    </w:p>
    <w:p>
      <w:pPr>
        <w:spacing w:after="80"/>
      </w:pPr>
      <w:r>
        <w:rPr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Origen de las preguntas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Análisis exploratorio y de calidad sobre los 15 datasets recibidos (período ene-2022 a dic-2025).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Destinatarios sugeridos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Compras y Categorías (Diego P.), Dirección Financiera (Carlos F.), Dirección Comercial (María G.), Sistemas / referente técnico de Operaciones.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[completar]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Respuestas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[completar]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Cada punto indica qué se detectó, por qué importa para el proyecto y qué criterio aplicaríamos si no hubiera respuesta. Los criterios provisorios están marcados como tales: no son decisiones tomadas.</w:t>
      </w:r>
    </w:p>
    <w:p>
      <w:pPr>
        <w:pStyle w:val="Heading1"/>
      </w:pPr>
      <w:r>
        <w:rPr>
          <w:color w:val="1F3A5F"/>
        </w:rPr>
        <w:t>Bloque 1 · Productos sin costo unitario en el catálogo (22 SKUs)</w:t>
      </w:r>
    </w:p>
    <w:p>
      <w:pPr>
        <w:spacing w:after="80"/>
      </w:pPr>
      <w:r>
        <w:rPr>
          <w:b/>
          <w:i w:val="0"/>
        </w:rPr>
        <w:t>Qué se detectó</w:t>
      </w:r>
    </w:p>
    <w:p>
      <w:pPr>
        <w:pStyle w:val="ListBullet"/>
        <w:spacing w:after="40"/>
      </w:pPr>
      <w:r>
        <w:rPr>
          <w:b/>
        </w:rPr>
        <w:t>22 de 800 SKUs (2,7%) no tienen cargado el costo unitario</w:t>
      </w:r>
      <w:r>
        <w:t xml:space="preserve"> en Productos_catalogo.csv. Sí tienen precio de lista.</w:t>
      </w:r>
    </w:p>
    <w:p>
      <w:pPr>
        <w:pStyle w:val="ListBullet"/>
        <w:spacing w:after="40"/>
      </w:pPr>
      <w:r>
        <w:rPr>
          <w:b/>
        </w:rPr>
        <w:t xml:space="preserve">Los 22 son altas recientes: </w:t>
      </w:r>
      <w:r>
        <w:t>todas sus fechas de alta están entre el 6-feb-2025 y el 27-jun-2025. Ningún SKU anterior a 2025 tiene el costo vacío.</w:t>
      </w:r>
    </w:p>
    <w:p>
      <w:pPr>
        <w:pStyle w:val="ListBullet"/>
        <w:spacing w:after="40"/>
      </w:pPr>
      <w:r>
        <w:rPr>
          <w:b/>
        </w:rPr>
        <w:t xml:space="preserve">16 siguen activos y 6 fueron discontinuados. </w:t>
      </w:r>
      <w:r>
        <w:t>A dic-2025 tienen 2.610 unidades en stock repartidas en 192 posiciones SKU-tienda.</w:t>
      </w:r>
    </w:p>
    <w:p>
      <w:pPr>
        <w:pStyle w:val="ListBullet"/>
        <w:spacing w:after="40"/>
      </w:pPr>
      <w:r>
        <w:rPr>
          <w:b/>
        </w:rPr>
        <w:t>Representan $235,7 M de venta acumulada (0,73% del total)</w:t>
      </w:r>
      <w:r>
        <w:t>, pero su stock no se puede valuar a costo, que es la base del cálculo de capital inmovilizado.</w:t>
      </w:r>
    </w:p>
    <w:p>
      <w:pPr>
        <w:pStyle w:val="ListBullet"/>
        <w:spacing w:after="40"/>
      </w:pPr>
      <w:r>
        <w:rPr>
          <w:b/>
        </w:rPr>
        <w:t>Los 22 SKUs sí tienen órdenes de compra con costo cargado</w:t>
      </w:r>
      <w:r>
        <w:t xml:space="preserve"> (entre 1 y 9 OC cada uno). El costo promedio ponderado por unidades va de $4.718 a $38.504.</w:t>
      </w:r>
    </w:p>
    <w:p>
      <w:pPr>
        <w:spacing w:after="80"/>
      </w:pPr>
      <w:r>
        <w:rPr>
          <w:b/>
          <w:i w:val="0"/>
        </w:rPr>
        <w:t>Por qué importa</w:t>
      </w:r>
    </w:p>
    <w:p>
      <w:pPr>
        <w:spacing w:after="80"/>
      </w:pPr>
      <w:r>
        <w:rPr>
          <w:b w:val="0"/>
          <w:i w:val="0"/>
        </w:rPr>
        <w:t>El capital inmovilizado —la cifra central del proyecto— se calcula valuando el stock a costo. Hoy estos SKUs quedan fuera de esa valuación o se estiman. En el Entregable 1 se imputaron con la mediana de costo de su categoría; comparado contra el costo real de las órdenes de compra, esa estimación se desvía un 11,9% en la mediana, con casos de −84% y +63%.</w:t>
      </w:r>
    </w:p>
    <w:p>
      <w:pPr>
        <w:spacing w:after="80"/>
      </w:pPr>
      <w:r>
        <w:rPr>
          <w:b/>
          <w:i w:val="0"/>
        </w:rPr>
        <w:t>Un dato que no cierra y necesita explicación</w:t>
      </w:r>
    </w:p>
    <w:p>
      <w:pPr>
        <w:spacing w:after="80"/>
      </w:pPr>
      <w:r>
        <w:rPr>
          <w:b w:val="0"/>
          <w:i w:val="0"/>
        </w:rPr>
        <w:t>Si se usara el costo de las órdenes de compra, estos 22 productos tendrían un margen sobre precio de lista de 52% a 58% (mediana 55,2%), muy por encima del 45,4% del resto del catálogo. O son productos genuinamente más rentables, o el costo de la orden de compra y el costo del catálogo no son la misma magnitud (por ejemplo, si el del catálogo incluye flete, impuestos o costos de importación que la OC no tiene).</w:t>
      </w:r>
    </w:p>
    <w:p>
      <w:pPr>
        <w:spacing w:before="120" w:after="60"/>
      </w:pPr>
      <w:r>
        <w:rPr>
          <w:b/>
          <w:color w:val="C0392B"/>
        </w:rPr>
        <w:t xml:space="preserve">P1. </w:t>
      </w:r>
      <w:r>
        <w:rPr>
          <w:b/>
        </w:rPr>
        <w:t>¿Por qué quedaron sin costo justamente los productos dados de alta en 2025? ¿Cambió el circuito de carga de productos nuevos ese año?</w:t>
      </w:r>
    </w:p>
    <w:p>
      <w:pPr>
        <w:spacing w:before="120" w:after="60"/>
      </w:pPr>
      <w:r>
        <w:rPr>
          <w:b/>
          <w:color w:val="C0392B"/>
        </w:rPr>
        <w:t xml:space="preserve">P2. </w:t>
      </w:r>
      <w:r>
        <w:rPr>
          <w:b/>
        </w:rPr>
        <w:t>¿Quién es hoy el responsable de cargar el costo unitario de un producto nuevo, y en qué momento del alta debería quedar cargado?</w:t>
      </w:r>
    </w:p>
    <w:p>
      <w:pPr>
        <w:spacing w:before="120" w:after="60"/>
      </w:pPr>
      <w:r>
        <w:rPr>
          <w:b/>
          <w:color w:val="C0392B"/>
        </w:rPr>
        <w:t xml:space="preserve">P3. </w:t>
      </w:r>
      <w:r>
        <w:rPr>
          <w:b/>
        </w:rPr>
        <w:t>¿El costo_unitario del catálogo es el mismo concepto que el costo_unitario_ars de una orden de compra, o el del catálogo incluye componentes adicionales (flete, impuestos, nacionalización)? Esto define si podemos completar los faltantes desde las órdenes de compra.</w:t>
      </w:r>
    </w:p>
    <w:p>
      <w:pPr>
        <w:spacing w:before="120" w:after="60"/>
      </w:pPr>
      <w:r>
        <w:rPr>
          <w:b/>
          <w:color w:val="C0392B"/>
        </w:rPr>
        <w:t xml:space="preserve">P4. </w:t>
      </w:r>
      <w:r>
        <w:rPr>
          <w:b/>
        </w:rPr>
        <w:t>Si podemos usar las órdenes de compra: ¿qué criterio prefieren, el costo de la última orden, el promedio ponderado por unidades, o un costo de reposición que ustedes definan?</w:t>
      </w:r>
    </w:p>
    <w:p>
      <w:pPr>
        <w:spacing w:before="120" w:after="60"/>
      </w:pPr>
      <w:r>
        <w:rPr>
          <w:b/>
          <w:color w:val="C0392B"/>
        </w:rPr>
        <w:t xml:space="preserve">P5. </w:t>
      </w:r>
      <w:r>
        <w:rPr>
          <w:b/>
        </w:rPr>
        <w:t>¿Pueden entregar directamente el costo de estos 22 SKUs desde el sistema de Compras? Es la opción preferible: evita cualquier estimación.</w:t>
      </w:r>
    </w:p>
    <w:p>
      <w:pPr>
        <w:spacing w:after="80"/>
      </w:pPr>
      <w:r>
        <w:rPr>
          <w:b/>
          <w:i w:val="0"/>
        </w:rPr>
        <w:t xml:space="preserve">Criterio provisorio si no hay respuesta: </w:t>
      </w:r>
    </w:p>
    <w:p>
      <w:pPr>
        <w:spacing w:after="200"/>
      </w:pPr>
      <w:r>
        <w:rPr>
          <w:b w:val="0"/>
          <w:i w:val="0"/>
        </w:rPr>
        <w:t>se valúa con el costo promedio ponderado de las órdenes de compra de cada SKU y se marca la fila como costo estimado, para poder recalcular después. Con ese criterio el stock de estos SKUs vale $67,1 M a dic-2025.</w:t>
      </w:r>
    </w:p>
    <w:p>
      <w:pPr>
        <w:spacing w:after="80"/>
      </w:pPr>
      <w:r>
        <w:rPr>
          <w:b w:val="0"/>
          <w:i/>
        </w:rPr>
        <w:t>Detalle de los 22 SKUs: archivo Entregable 2/EDA/resultados/skus_sin_costo.csv</w:t>
      </w:r>
    </w:p>
    <w:p>
      <w:r>
        <w:br w:type="page"/>
      </w:r>
    </w:p>
    <w:p>
      <w:pPr>
        <w:pStyle w:val="Heading1"/>
      </w:pPr>
      <w:r>
        <w:rPr>
          <w:color w:val="1F3A5F"/>
        </w:rPr>
        <w:t>Bloque 2 · Costo unitario vacío en el historial de precios</w:t>
      </w:r>
    </w:p>
    <w:p>
      <w:pPr>
        <w:spacing w:after="80"/>
      </w:pPr>
      <w:r>
        <w:rPr>
          <w:b/>
          <w:i w:val="0"/>
        </w:rPr>
        <w:t>Qué se detectó</w:t>
      </w:r>
    </w:p>
    <w:p>
      <w:pPr>
        <w:pStyle w:val="ListBullet"/>
        <w:spacing w:after="40"/>
      </w:pPr>
      <w:r>
        <w:rPr>
          <w:b/>
        </w:rPr>
        <w:t>40 filas de Historial_Precios_SKU.csv no tienen costo unitario</w:t>
      </w:r>
      <w:r>
        <w:t>, y corresponden exactamente a los mismos 22 SKUs del Bloque 1.</w:t>
      </w:r>
    </w:p>
    <w:p>
      <w:pPr>
        <w:pStyle w:val="ListBullet"/>
        <w:spacing w:after="40"/>
      </w:pPr>
      <w:r>
        <w:rPr>
          <w:b/>
        </w:rPr>
        <w:t xml:space="preserve">El vacío es total por producto: </w:t>
      </w:r>
      <w:r>
        <w:t>ninguno de los 22 tiene costo en una vigencia y vacío en otra. O está en todas, o en ninguna.</w:t>
      </w:r>
    </w:p>
    <w:p>
      <w:pPr>
        <w:pStyle w:val="ListBullet"/>
        <w:spacing w:after="40"/>
      </w:pPr>
      <w:r>
        <w:rPr>
          <w:b/>
        </w:rPr>
        <w:t>El precio de lista sí está cargado en las 40 filas.</w:t>
      </w:r>
      <w:r>
        <w:t xml:space="preserve"> Falta únicamente el costo.</w:t>
      </w:r>
    </w:p>
    <w:p>
      <w:pPr>
        <w:pStyle w:val="ListBullet"/>
        <w:spacing w:after="40"/>
      </w:pPr>
      <w:r>
        <w:rPr>
          <w:b/>
        </w:rPr>
        <w:t xml:space="preserve">El resto del historial es consistente: </w:t>
      </w:r>
      <w:r>
        <w:t>sin solapamientos ni huecos entre vigencias, la última vigencia coincide con el precio del catálogo en los 800 SKUs, y la primera coincide con la fecha de alta en los 800.</w:t>
      </w:r>
    </w:p>
    <w:p>
      <w:pPr>
        <w:spacing w:after="80"/>
      </w:pPr>
      <w:r>
        <w:rPr>
          <w:b/>
          <w:i w:val="0"/>
        </w:rPr>
        <w:t>Por qué importa</w:t>
      </w:r>
    </w:p>
    <w:p>
      <w:pPr>
        <w:spacing w:after="80"/>
      </w:pPr>
      <w:r>
        <w:rPr>
          <w:b w:val="0"/>
          <w:i w:val="0"/>
        </w:rPr>
        <w:t>Confirma que el problema está en el alta del producto y no en el mantenimiento de precios: el costo nunca entró al sistema. También implica que no se puede reconstruir el costo histórico de estos SKUs, ni calcular su margen real en liquidaciones.</w:t>
      </w:r>
    </w:p>
    <w:p>
      <w:pPr>
        <w:spacing w:before="120" w:after="60"/>
      </w:pPr>
      <w:r>
        <w:rPr>
          <w:b/>
          <w:color w:val="C0392B"/>
        </w:rPr>
        <w:t xml:space="preserve">P6. </w:t>
      </w:r>
      <w:r>
        <w:rPr>
          <w:b/>
        </w:rPr>
        <w:t>¿Cuál es la fuente maestra del costo: el catálogo de productos o el historial de precios? ¿Cuál manda si difieren?</w:t>
      </w:r>
    </w:p>
    <w:p>
      <w:pPr>
        <w:spacing w:before="120" w:after="60"/>
      </w:pPr>
      <w:r>
        <w:rPr>
          <w:b/>
          <w:color w:val="C0392B"/>
        </w:rPr>
        <w:t xml:space="preserve">P7. </w:t>
      </w:r>
      <w:r>
        <w:rPr>
          <w:b/>
        </w:rPr>
        <w:t>¿El historial de precios se alimenta automáticamente del catálogo, o son cargas independientes? Lo preguntamos porque el vacío es idéntico en ambos, lo que sugiere una única fuente o una réplica.</w:t>
      </w:r>
    </w:p>
    <w:p>
      <w:pPr>
        <w:spacing w:before="120" w:after="60"/>
      </w:pPr>
      <w:r>
        <w:rPr>
          <w:b/>
          <w:color w:val="C0392B"/>
        </w:rPr>
        <w:t xml:space="preserve">P8. </w:t>
      </w:r>
      <w:r>
        <w:rPr>
          <w:b/>
        </w:rPr>
        <w:t>Cuando un producto cambia de proveedor y de costo, ¿se registra una nueva vigencia en el historial o se pisa el valor anterior?</w:t>
      </w:r>
    </w:p>
    <w:p>
      <w:pPr>
        <w:spacing w:before="120" w:after="60"/>
      </w:pPr>
      <w:r>
        <w:rPr>
          <w:b/>
          <w:color w:val="C0392B"/>
        </w:rPr>
        <w:t xml:space="preserve">P9. </w:t>
      </w:r>
      <w:r>
        <w:rPr>
          <w:b/>
        </w:rPr>
        <w:t>Para los 15 SKUs que aparecen duplicados en el catálogo con dos proveedores distintos: ¿el costo debería ser uno por proveedor? Hoy el historial guarda un solo costo por SKU y por vigencia, así que el modelo de datos no contempla ese caso.</w:t>
      </w:r>
    </w:p>
    <w:p>
      <w:pPr>
        <w:spacing w:after="80"/>
      </w:pPr>
      <w:r>
        <w:rPr>
          <w:b/>
          <w:i w:val="0"/>
        </w:rPr>
        <w:t>Observación adicional para validar</w:t>
      </w:r>
    </w:p>
    <w:p>
      <w:pPr>
        <w:spacing w:after="200"/>
      </w:pPr>
      <w:r>
        <w:rPr>
          <w:b w:val="0"/>
          <w:i w:val="0"/>
        </w:rPr>
        <w:t>Entre vigencias consecutivas, el precio de lista sube 86% en la mediana y hasta 393%. Son saltos nominales grandes: hace falta confirmar si responden a la inflación del período, para decidir si el análisis se hace a precios corrientes o constantes.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Bloque 3 · Valores imposibles detectados (5.854 registros)</w:t>
      </w:r>
    </w:p>
    <w:p>
      <w:pPr>
        <w:spacing w:after="80"/>
      </w:pPr>
      <w:r>
        <w:rPr>
          <w:b w:val="0"/>
          <w:i w:val="0"/>
        </w:rPr>
        <w:t>Se agrupan acá todos los valores que no pueden existir por definición. No son valores extremos discutibles: son datos que contradicen la naturaleza de la variable.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b/>
                <w:sz w:val="19"/>
              </w:rPr>
              <w:t>Caso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Registros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Rango del problema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Fuente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Stock disponible negativo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1.209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hasta −152 unidades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Stock_SKU_tienda_mensual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Unidades vendidas negativas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2.317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hasta −26 unidades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Ventas_SKU_tienda_mensual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Venta neta negativa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2.317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hasta −$1.705.312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Ventas_SKU_tienda_mensual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Descuento fuera de 0-100%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120%, 120% y −10%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Liquidaciones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Descuento fuera de 0-100%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150% y −15%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Promociones_Comerciales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Presupuesto o unidades negativas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hasta −$963.369 y −9 unidades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Presupuesto_Ventas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3.1 Stock negativo (1.209 filas)</w:t>
      </w:r>
    </w:p>
    <w:p>
      <w:pPr>
        <w:spacing w:after="80"/>
      </w:pPr>
      <w:r>
        <w:rPr>
          <w:b/>
          <w:i w:val="0"/>
        </w:rPr>
        <w:t>Qué encontramos</w:t>
      </w:r>
    </w:p>
    <w:p>
      <w:pPr>
        <w:pStyle w:val="ListBullet"/>
        <w:spacing w:after="40"/>
      </w:pPr>
      <w:r>
        <w:rPr>
          <w:b/>
        </w:rPr>
        <w:t xml:space="preserve">Está repartido, no concentrado: </w:t>
      </w:r>
      <w:r>
        <w:t>548 SKUs, las 28 tiendas, 1.117 posiciones distintas. La tienda más afectada tiene 58 casos.</w:t>
      </w:r>
    </w:p>
    <w:p>
      <w:pPr>
        <w:pStyle w:val="ListBullet"/>
        <w:spacing w:after="40"/>
      </w:pPr>
      <w:r>
        <w:rPr>
          <w:b/>
        </w:rPr>
        <w:t xml:space="preserve">Crece con el negocio: </w:t>
      </w:r>
      <w:r>
        <w:t>67 casos en 2022, 255 en 2023, 394 en 2024 y 493 en 2025.</w:t>
      </w:r>
    </w:p>
    <w:p>
      <w:pPr>
        <w:pStyle w:val="ListBullet"/>
        <w:spacing w:after="40"/>
      </w:pPr>
      <w:r>
        <w:rPr>
          <w:b/>
        </w:rPr>
        <w:t xml:space="preserve">Es chico en magnitud: </w:t>
      </w:r>
      <w:r>
        <w:t>mediana −11 unidades; solo 5 filas superan las 100 unidades.</w:t>
      </w:r>
    </w:p>
    <w:p>
      <w:pPr>
        <w:pStyle w:val="ListBullet"/>
        <w:spacing w:after="40"/>
      </w:pPr>
      <w:r>
        <w:rPr>
          <w:b/>
        </w:rPr>
        <w:t xml:space="preserve">Respalda la explicación de sincronización POS-inventario que dio el negocio: </w:t>
      </w:r>
      <w:r>
        <w:t>el 81,6% de esas filas tuvo ventas ese mes, el faltante se correlaciona con las unidades vendidas (0,75) y en 1.148 de 1.209 casos el mes siguiente vuelve a stock positivo.</w:t>
      </w:r>
    </w:p>
    <w:p>
      <w:pPr>
        <w:spacing w:before="120" w:after="60"/>
      </w:pPr>
      <w:r>
        <w:rPr>
          <w:b/>
          <w:color w:val="C0392B"/>
        </w:rPr>
        <w:t xml:space="preserve">P10. </w:t>
      </w:r>
      <w:r>
        <w:rPr>
          <w:b/>
        </w:rPr>
        <w:t>¿Confirman que el stock negativo es un desfasaje de sincronización entre el POS y el sistema de inventario, y no un ajuste de inventario real?</w:t>
      </w:r>
    </w:p>
    <w:p>
      <w:pPr>
        <w:spacing w:before="120" w:after="60"/>
      </w:pPr>
      <w:r>
        <w:rPr>
          <w:b/>
          <w:color w:val="C0392B"/>
        </w:rPr>
        <w:t xml:space="preserve">P11. </w:t>
      </w:r>
      <w:r>
        <w:rPr>
          <w:b/>
        </w:rPr>
        <w:t>¿Llevarlo a cero es el tratamiento correcto, o prefieren que lo reconstruyamos como “stock inicial menos ventas” del mes?</w:t>
      </w:r>
    </w:p>
    <w:p>
      <w:pPr>
        <w:spacing w:before="120" w:after="60"/>
      </w:pPr>
      <w:r>
        <w:rPr>
          <w:b/>
          <w:color w:val="C0392B"/>
        </w:rPr>
        <w:t xml:space="preserve">P12. </w:t>
      </w:r>
      <w:r>
        <w:rPr>
          <w:b/>
        </w:rPr>
        <w:t>¿Hay algún proceso de conteo o ajuste que corrija estos casos más adelante? Si existe, ¿podemos recibir esos ajustes?</w:t>
      </w:r>
    </w:p>
    <w:p>
      <w:pPr>
        <w:spacing w:after="80"/>
      </w:pPr>
      <w:r>
        <w:rPr>
          <w:b/>
          <w:i w:val="0"/>
        </w:rPr>
        <w:t xml:space="preserve">Criterio provisorio: </w:t>
      </w:r>
    </w:p>
    <w:p>
      <w:pPr>
        <w:spacing w:after="160"/>
      </w:pPr>
      <w:r>
        <w:rPr>
          <w:b w:val="0"/>
          <w:i w:val="0"/>
        </w:rPr>
        <w:t>se lleva a 0 y se marca la fila con una columna de auditoría. Impacto acotado: son 20.914 unidades sobre un stock que a dic-2025 es de 135.484.</w:t>
      </w:r>
    </w:p>
    <w:p>
      <w:pPr>
        <w:pStyle w:val="Heading2"/>
      </w:pPr>
      <w:r>
        <w:rPr>
          <w:color w:val="1F3A5F"/>
        </w:rPr>
        <w:t>3.2 Unidades y venta neta negativas (2.317 filas)</w:t>
      </w:r>
    </w:p>
    <w:p>
      <w:pPr>
        <w:spacing w:after="80"/>
      </w:pPr>
      <w:r>
        <w:rPr>
          <w:b/>
          <w:i w:val="0"/>
        </w:rPr>
        <w:t>Qué encontramos</w:t>
      </w:r>
    </w:p>
    <w:p>
      <w:pPr>
        <w:pStyle w:val="ListBullet"/>
        <w:spacing w:after="40"/>
      </w:pPr>
      <w:r>
        <w:rPr>
          <w:b/>
        </w:rPr>
        <w:t xml:space="preserve">Son exactamente las devoluciones. </w:t>
      </w:r>
      <w:r>
        <w:t>Las 2.317 filas negativas coinciden una a una con los 2.317 registros de Devoluciones_SKU.csv: misma tienda, mismo SKU, mismo mes y las mismas unidades. Ya no es una hipótesis.</w:t>
      </w:r>
    </w:p>
    <w:p>
      <w:pPr>
        <w:pStyle w:val="ListBullet"/>
        <w:spacing w:after="40"/>
      </w:pPr>
      <w:r>
        <w:rPr>
          <w:b/>
        </w:rPr>
        <w:t xml:space="preserve">Pesan poco: </w:t>
      </w:r>
      <w:r>
        <w:t>9.583 unidades, el 1,27% de las unidades vendidas; $418,3 M en valor absoluto.</w:t>
      </w:r>
    </w:p>
    <w:p>
      <w:pPr>
        <w:pStyle w:val="ListBullet"/>
        <w:spacing w:after="40"/>
      </w:pPr>
      <w:r>
        <w:rPr>
          <w:b/>
        </w:rPr>
        <w:t xml:space="preserve">Pero los motivos no coinciden con lo que se nos informó. </w:t>
      </w:r>
      <w:r>
        <w:t>En el Entregable 1 el negocio indicó que eran “mayormente devoluciones de clientes”. En el dataset solo 466 de 2.317 (20%) son “Devolución de cliente (cambio)”. El resto es producto dañado en logística (499), producto sin rotación / no vendido (471), error de picking (446) y defecto de fabricación (435).</w:t>
      </w:r>
    </w:p>
    <w:p>
      <w:pPr>
        <w:pStyle w:val="ListBullet"/>
        <w:spacing w:after="40"/>
      </w:pPr>
      <w:r>
        <w:rPr>
          <w:b/>
        </w:rPr>
        <w:t xml:space="preserve">En solo 40 de los 2.317 casos </w:t>
      </w:r>
      <w:r>
        <w:t>hay además una fila de venta positiva del mismo producto, tienda y mes.</w:t>
      </w:r>
    </w:p>
    <w:p>
      <w:pPr>
        <w:spacing w:before="120" w:after="60"/>
      </w:pPr>
      <w:r>
        <w:rPr>
          <w:b/>
          <w:color w:val="C0392B"/>
        </w:rPr>
        <w:t xml:space="preserve">P13. </w:t>
      </w:r>
      <w:r>
        <w:rPr>
          <w:b/>
        </w:rPr>
        <w:t>El dataset de devoluciones muestra que solo el 20% son devoluciones de clientes. ¿Los otros cuatro motivos (daño en logística, error de picking, defecto de fábrica, producto sin rotación) también se registran como venta negativa en el POS, o deberían ser movimientos de inventario?</w:t>
      </w:r>
    </w:p>
    <w:p>
      <w:pPr>
        <w:spacing w:before="120" w:after="60"/>
      </w:pPr>
      <w:r>
        <w:rPr>
          <w:b/>
          <w:color w:val="C0392B"/>
        </w:rPr>
        <w:t xml:space="preserve">P14. </w:t>
      </w:r>
      <w:r>
        <w:rPr>
          <w:b/>
        </w:rPr>
        <w:t>“Producto sin rotación / no vendido” (471 registros, 2.013 unidades) — ¿qué operación representa? ¿Es una devolución al proveedor? Es directamente relevante para el proyecto: si se puede devolver mercadería sin rotación, es una palanca de acción que hoy no estamos contemplando.</w:t>
      </w:r>
    </w:p>
    <w:p>
      <w:pPr>
        <w:spacing w:before="120" w:after="60"/>
      </w:pPr>
      <w:r>
        <w:rPr>
          <w:b/>
          <w:color w:val="C0392B"/>
        </w:rPr>
        <w:t xml:space="preserve">P15. </w:t>
      </w:r>
      <w:r>
        <w:rPr>
          <w:b/>
        </w:rPr>
        <w:t>¿La venta neta ya tiene descontadas las devoluciones, o hay que restarlas aparte? Con la coincidencia uno a uno, la lectura es que la devolución está cargada como una fila negativa separada.</w:t>
      </w:r>
    </w:p>
    <w:p>
      <w:pPr>
        <w:spacing w:before="120" w:after="60"/>
      </w:pPr>
      <w:r>
        <w:rPr>
          <w:b/>
          <w:color w:val="C0392B"/>
        </w:rPr>
        <w:t xml:space="preserve">P16. </w:t>
      </w:r>
      <w:r>
        <w:rPr>
          <w:b/>
        </w:rPr>
        <w:t>Para el modelo: cuando un producto se devuelve por daño o defecto, ¿la unidad vuelve al stock vendible de la tienda o se da de baja?</w:t>
      </w:r>
    </w:p>
    <w:p>
      <w:pPr>
        <w:spacing w:after="80"/>
      </w:pPr>
      <w:r>
        <w:rPr>
          <w:b/>
          <w:i w:val="0"/>
        </w:rPr>
        <w:t xml:space="preserve">Criterio provisorio: </w:t>
      </w:r>
    </w:p>
    <w:p>
      <w:pPr>
        <w:spacing w:after="160"/>
      </w:pPr>
      <w:r>
        <w:rPr>
          <w:b w:val="0"/>
          <w:i w:val="0"/>
        </w:rPr>
        <w:t>se dejan de llevar a cero. Se separan como devoluciones y se netean de la venta del mes para calcular el ritmo de rotación, conservando el motivo como variable.</w:t>
      </w:r>
    </w:p>
    <w:p>
      <w:pPr>
        <w:pStyle w:val="Heading2"/>
      </w:pPr>
      <w:r>
        <w:rPr>
          <w:color w:val="1F3A5F"/>
        </w:rPr>
        <w:t>3.3 Descuentos fuera de rango (5 registros)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</w:tcPr>
          <w:p>
            <w:r/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Producto / Categoría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Tienda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Descuento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LIQ0077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SKU00150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T11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11-dic-2023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120%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Fin de temporada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LIQ0477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SKU00236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T27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26-sep-2025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120%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Discontinuación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LIQ0306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SKU00308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T27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09-dic-2025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−10%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Baja rotación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PROMO0052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Textil hogar (Online)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15-dic-2023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150%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Navidad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PROMO0072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Baño (Online)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03-jun-2022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−15%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Contexto útil: </w:t>
      </w:r>
    </w:p>
    <w:p>
      <w:pPr>
        <w:spacing w:after="80"/>
      </w:pPr>
      <w:r>
        <w:rPr>
          <w:b w:val="0"/>
          <w:i w:val="0"/>
        </w:rPr>
        <w:t>el resto de los descuentos usa solo valores redondos. En liquidaciones son 10, 15, 20, 25, 30, 40 y 50%. En promociones, de 5 a 40%. Los cinco casos son los únicos fuera de ese patrón, lo que sugiere error de carga y no una política excepcional.</w:t>
      </w:r>
    </w:p>
    <w:p>
      <w:pPr>
        <w:spacing w:before="120" w:after="60"/>
      </w:pPr>
      <w:r>
        <w:rPr>
          <w:b/>
          <w:color w:val="C0392B"/>
        </w:rPr>
        <w:t xml:space="preserve">P17. </w:t>
      </w:r>
      <w:r>
        <w:rPr>
          <w:b/>
        </w:rPr>
        <w:t>Los dos descuentos de 120% y el de 150%: ¿son errores de tipeo (por ejemplo 20% y 50%), o hubo alguna acción de bonificación total? Un descuento mayor a 100% implicaría pagarle al cliente por llevarse el producto.</w:t>
      </w:r>
    </w:p>
    <w:p>
      <w:pPr>
        <w:spacing w:before="120" w:after="60"/>
      </w:pPr>
      <w:r>
        <w:rPr>
          <w:b/>
          <w:color w:val="C0392B"/>
        </w:rPr>
        <w:t xml:space="preserve">P18. </w:t>
      </w:r>
      <w:r>
        <w:rPr>
          <w:b/>
        </w:rPr>
        <w:t>Los descuentos negativos (−10% y −15%): ¿significan un recargo, o son también un error de carga?</w:t>
      </w:r>
    </w:p>
    <w:p>
      <w:pPr>
        <w:spacing w:before="120" w:after="60"/>
      </w:pPr>
      <w:r>
        <w:rPr>
          <w:b/>
          <w:color w:val="C0392B"/>
        </w:rPr>
        <w:t xml:space="preserve">P19. </w:t>
      </w:r>
      <w:r>
        <w:rPr>
          <w:b/>
        </w:rPr>
        <w:t>¿El sistema valida el rango del descuento al cargarlo? Si no lo valida, conviene incluirlo en el plan de mejora de calidad de datos.</w:t>
      </w:r>
    </w:p>
    <w:p>
      <w:pPr>
        <w:spacing w:after="80"/>
      </w:pPr>
      <w:r>
        <w:rPr>
          <w:b/>
          <w:i w:val="0"/>
        </w:rPr>
        <w:t xml:space="preserve">Criterio provisorio: </w:t>
      </w:r>
    </w:p>
    <w:p>
      <w:pPr>
        <w:spacing w:after="160"/>
      </w:pPr>
      <w:r>
        <w:rPr>
          <w:b w:val="0"/>
          <w:i w:val="0"/>
        </w:rPr>
        <w:t>se excluyen los 5 registros de los cálculos de margen y se marcan, en lugar de acotarlos a 0-100% como se hizo en el Entregable 1. Acotar inventa un valor que nadie confirmó.</w:t>
      </w:r>
    </w:p>
    <w:p>
      <w:pPr>
        <w:pStyle w:val="Heading2"/>
      </w:pPr>
      <w:r>
        <w:rPr>
          <w:color w:val="1F3A5F"/>
        </w:rPr>
        <w:t>3.4 Presupuesto negativo (6 valores en 5 filas)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Mes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Tienda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Categoría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Presupuesto $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Presupuesto unidades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jun-2022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T07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Textil hogar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33.895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−2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jun-2022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T22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Baño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−6.596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jul-2022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T17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Iluminación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−963.369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−9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ene-2023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T24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Iluminación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−514.763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may-2023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T10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Organización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359.860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−4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Se suma un caso relacionado: </w:t>
      </w:r>
    </w:p>
    <w:p>
      <w:pPr>
        <w:spacing w:after="80"/>
      </w:pPr>
      <w:r>
        <w:rPr>
          <w:b w:val="0"/>
          <w:i w:val="0"/>
        </w:rPr>
        <w:t>309 celdas con presupuesto en cero, todas entre enero y mayo de 2022, en las 28 tiendas. El presupuesto promedio de una celda en 2022 es de $850.428, así que un cero no parece una meta real sino una carga pendiente.</w:t>
      </w:r>
    </w:p>
    <w:p>
      <w:pPr>
        <w:spacing w:before="120" w:after="60"/>
      </w:pPr>
      <w:r>
        <w:rPr>
          <w:b/>
          <w:color w:val="C0392B"/>
        </w:rPr>
        <w:t xml:space="preserve">P20. </w:t>
      </w:r>
      <w:r>
        <w:rPr>
          <w:b/>
        </w:rPr>
        <w:t>¿Un presupuesto negativo tiene algún significado (por ejemplo, un ajuste o una corrección contra un mes anterior), o son errores de carga?</w:t>
      </w:r>
    </w:p>
    <w:p>
      <w:pPr>
        <w:spacing w:before="120" w:after="60"/>
      </w:pPr>
      <w:r>
        <w:rPr>
          <w:b/>
          <w:color w:val="C0392B"/>
        </w:rPr>
        <w:t xml:space="preserve">P21. </w:t>
      </w:r>
      <w:r>
        <w:rPr>
          <w:b/>
        </w:rPr>
        <w:t>Los 309 ceros de enero a mayo 2022: ¿son meses sin presupuesto asignado o es información que no llegó a cargarse? Cambia si los tomamos como meta cero o los excluimos del cálculo de cumplimiento.</w:t>
      </w:r>
    </w:p>
    <w:p>
      <w:pPr>
        <w:spacing w:before="120" w:after="60"/>
      </w:pPr>
      <w:r>
        <w:rPr>
          <w:b/>
          <w:color w:val="C0392B"/>
        </w:rPr>
        <w:t xml:space="preserve">P22. </w:t>
      </w:r>
      <w:r>
        <w:rPr>
          <w:b/>
        </w:rPr>
        <w:t>¿Cómo se arma el presupuesto y quién lo aprueba? Lo consultamos porque el cumplimiento da un valor casi idéntico —alrededor del 91%— en todos los años, categorías y tiendas, lo que es llamativamente parejo para una meta comercial.</w:t>
      </w:r>
    </w:p>
    <w:p>
      <w:pPr>
        <w:spacing w:after="80"/>
      </w:pPr>
      <w:r>
        <w:rPr>
          <w:b/>
          <w:i w:val="0"/>
        </w:rPr>
        <w:t xml:space="preserve">Criterio provisorio: </w:t>
      </w:r>
    </w:p>
    <w:p>
      <w:pPr>
        <w:spacing w:after="160"/>
      </w:pPr>
      <w:r>
        <w:rPr>
          <w:b w:val="0"/>
          <w:i w:val="0"/>
        </w:rPr>
        <w:t>se excluyen las 5 filas negativas y los 309 ceros del cálculo de cumplimiento, y se documenta la exclusión.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Resumen de lo que necesitamos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Tema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Qué pedimos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Responsable sugerido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Bloquea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Costo de 22 SKUs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Costo unitario real desde el sistema de Compras, o confirmar que podemos usar el de las órdenes de compra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Compras y Categorías · Finanzas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Valuación del capital inmovilizado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Definición de costo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Si el costo del catálogo y el de la orden de compra son el mismo concepto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Finanzas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Cálculo de margen y de capital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Stock negativo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Confirmar el origen y el tratamiento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Sistemas · Operaciones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Cálculo de cobertura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Devoluciones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Qué operación hay detrás de cada motivo y si la unidad vuelve al stock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Operaciones · Comercial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Variable objetivo del modelo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Descuentos fuera de rango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Confirmar si son errores de carga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Comercial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Análisis de margen (impacto menor)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Presupuesto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Sentido de los negativos y de los ceros de 2022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Finanzas · Comercial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KPI de desvío contra presupuesto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/>
        </w:rPr>
        <w:t>Los cuatro primeros son bloqueantes para la fase de modelado. Los dos últimos tienen impacto acotado y pueden resolverse en paralelo.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