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Casa Óga — Preguntas abiertas de calidad de datos (Ronda 2)</w:t>
      </w:r>
    </w:p>
    <w:p>
      <w:pPr>
        <w:spacing w:after="80"/>
        <w:jc w:val="center"/>
      </w:pPr>
      <w:r>
        <w:rPr>
          <w:b w:val="0"/>
          <w:i/>
        </w:rPr>
        <w:t>Proyecto Data Driven · Grupo 1 · Entregable 2 — Evaluación de calidad de datos</w:t>
      </w:r>
    </w:p>
    <w:p>
      <w:pPr>
        <w:spacing w:after="80"/>
      </w:pPr>
      <w:r>
        <w:rPr>
          <w:b w:val="0"/>
          <w:i w:val="0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Origen de las preguntas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Análisis exploratorio y de calidad sobre los 15 datasets recibidos (período enero 2022 a agosto 2026).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Destinatarios sugeridos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Compras y Categorías, Dirección Financiera, Dirección Comercial, Sistemas / referente técnico de Operaciones.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Fecha de envío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[completar]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Fecha solicitada de respuesta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[completar]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Respondido por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[completar]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</w:rPr>
        <w:t>Cada bloque empieza con lo que encontramos en los datos y sigue con las preguntas. No proponemos respuestas: necesitamos el criterio de ustedes para poder aplicarlo. Las preguntas están numeradas para facilitar la respuesta punto por punto, por escrito o en una reunión.</w:t>
      </w:r>
    </w:p>
    <w:p>
      <w:pPr>
        <w:pStyle w:val="Heading1"/>
      </w:pPr>
      <w:r>
        <w:rPr>
          <w:color w:val="1F3A5F"/>
        </w:rPr>
        <w:t>Bloque 1 · Productos sin costo unitario en el catálogo (22 SKUs)</w:t>
      </w:r>
    </w:p>
    <w:p>
      <w:pPr>
        <w:spacing w:after="80"/>
      </w:pPr>
      <w:r>
        <w:rPr>
          <w:b/>
          <w:i w:val="0"/>
        </w:rPr>
        <w:t>Qué encontramos en los datos</w:t>
      </w:r>
    </w:p>
    <w:p>
      <w:pPr>
        <w:pStyle w:val="ListBullet"/>
        <w:spacing w:after="40"/>
      </w:pPr>
      <w:r>
        <w:rPr>
          <w:b/>
        </w:rPr>
        <w:t>22 de 800 productos (2,7%) no tienen cargado el costo unitario</w:t>
      </w:r>
      <w:r>
        <w:t xml:space="preserve"> en el catálogo. El precio de lista sí está cargado en los 22.</w:t>
      </w:r>
    </w:p>
    <w:p>
      <w:pPr>
        <w:pStyle w:val="ListBullet"/>
        <w:spacing w:after="40"/>
      </w:pPr>
      <w:r>
        <w:rPr>
          <w:b/>
        </w:rPr>
        <w:t xml:space="preserve">Los 22 son altas recientes: </w:t>
      </w:r>
      <w:r>
        <w:t>sus fechas de alta van del 6 de febrero al 27 de junio de 2025. Ningún producto anterior a 2025 tiene el costo vacío.</w:t>
      </w:r>
    </w:p>
    <w:p>
      <w:pPr>
        <w:pStyle w:val="ListBullet"/>
        <w:spacing w:after="40"/>
      </w:pPr>
      <w:r>
        <w:rPr>
          <w:b/>
        </w:rPr>
        <w:t>16 siguen activos y 6 fueron discontinuados.</w:t>
      </w:r>
      <w:r>
        <w:t xml:space="preserve"> Entre todos suman 2.610 unidades en stock, repartidas en 192 combinaciones de producto y tienda.</w:t>
      </w:r>
    </w:p>
    <w:p>
      <w:pPr>
        <w:pStyle w:val="ListBullet"/>
        <w:spacing w:after="40"/>
      </w:pPr>
      <w:r>
        <w:rPr>
          <w:b/>
        </w:rPr>
        <w:t>Acumulan $235,7 millones de venta</w:t>
      </w:r>
      <w:r>
        <w:t xml:space="preserve"> en el período analizado.</w:t>
      </w:r>
    </w:p>
    <w:p>
      <w:pPr>
        <w:pStyle w:val="ListBullet"/>
        <w:spacing w:after="40"/>
      </w:pPr>
      <w:r>
        <w:rPr>
          <w:b/>
        </w:rPr>
        <w:t>Esos mismos 22 productos sí tienen costo cargado en sus órdenes de compra</w:t>
      </w:r>
      <w:r>
        <w:t xml:space="preserve"> (entre 1 y 9 órdenes cada uno).</w:t>
      </w:r>
    </w:p>
    <w:p>
      <w:pPr>
        <w:pStyle w:val="ListBullet"/>
        <w:spacing w:after="40"/>
      </w:pPr>
      <w:r>
        <w:rPr>
          <w:b/>
        </w:rPr>
        <w:t xml:space="preserve">Tomando el costo de esas órdenes de compra, </w:t>
      </w:r>
      <w:r>
        <w:t>el margen sobre precio de lista de estos 22 productos daría entre 52% y 58%, mientras que el resto del catálogo tiene un margen promedio de 45%.</w:t>
      </w:r>
    </w:p>
    <w:p>
      <w:pPr>
        <w:spacing w:after="80"/>
      </w:pPr>
      <w:r>
        <w:rPr>
          <w:b/>
          <w:i w:val="0"/>
        </w:rPr>
        <w:t>Por qué lo preguntamos</w:t>
      </w:r>
    </w:p>
    <w:p>
      <w:pPr>
        <w:spacing w:after="80"/>
      </w:pPr>
      <w:r>
        <w:rPr>
          <w:b w:val="0"/>
          <w:i w:val="0"/>
        </w:rPr>
        <w:t>El capital inmovilizado se calcula valuando el stock a costo. Sin ese dato, estos productos quedan fuera de la medición.</w:t>
      </w:r>
    </w:p>
    <w:p>
      <w:pPr>
        <w:spacing w:before="120" w:after="60"/>
      </w:pPr>
      <w:r>
        <w:rPr>
          <w:b/>
          <w:color w:val="C0392B"/>
        </w:rPr>
        <w:t xml:space="preserve">P1. </w:t>
      </w:r>
      <w:r>
        <w:rPr>
          <w:b/>
        </w:rPr>
        <w:t>¿Cuál es el circuito de carga del costo unitario de un producto nuevo? ¿Qué área lo carga y en qué momento del alta?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P2. </w:t>
      </w:r>
      <w:r>
        <w:rPr>
          <w:b/>
        </w:rPr>
        <w:t>¿Qué explica que estos 22 productos, todos dados de alta en 2025, hayan quedado sin costo?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P3. </w:t>
      </w:r>
      <w:r>
        <w:rPr>
          <w:b/>
        </w:rPr>
        <w:t>¿Qué incluye exactamente el costo unitario del catálogo? ¿Es el precio de compra al proveedor, o incorpora otros componentes como flete, impuestos o nacionalización?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P4. </w:t>
      </w:r>
      <w:r>
        <w:rPr>
          <w:b/>
        </w:rPr>
        <w:t>¿Es el mismo concepto que el costo unitario que figura en las órdenes de compra? Si no lo es, ¿en qué se diferencian?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P5. </w:t>
      </w:r>
      <w:r>
        <w:rPr>
          <w:b/>
        </w:rPr>
        <w:t>¿De qué fuente debemos tomar el costo de estos 22 productos?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P6. </w:t>
      </w:r>
      <w:r>
        <w:rPr>
          <w:b/>
        </w:rPr>
        <w:t>¿Quién puede entregarnos ese dato y en qué plazo?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P7. </w:t>
      </w:r>
      <w:r>
        <w:rPr>
          <w:b/>
        </w:rPr>
        <w:t>Mientras tanto, ¿cómo quieren que tratemos a estos 22 productos en los cálculos de capital inmovilizado y de margen?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after="80"/>
      </w:pPr>
      <w:r>
        <w:rPr>
          <w:b w:val="0"/>
          <w:i/>
        </w:rPr>
        <w:t>Listado de los 22 productos: archivo adjunto “skus_sin_costo.csv”.</w:t>
      </w:r>
    </w:p>
    <w:p>
      <w:r>
        <w:br w:type="page"/>
      </w:r>
    </w:p>
    <w:p>
      <w:pPr>
        <w:pStyle w:val="Heading1"/>
      </w:pPr>
      <w:r>
        <w:rPr>
          <w:color w:val="1F3A5F"/>
        </w:rPr>
        <w:t>Bloque 2 · Costo unitario vacío en el historial de precios</w:t>
      </w:r>
    </w:p>
    <w:p>
      <w:pPr>
        <w:spacing w:after="80"/>
      </w:pPr>
      <w:r>
        <w:rPr>
          <w:b/>
          <w:i w:val="0"/>
        </w:rPr>
        <w:t>Qué encontramos en los datos</w:t>
      </w:r>
    </w:p>
    <w:p>
      <w:pPr>
        <w:pStyle w:val="ListBullet"/>
        <w:spacing w:after="40"/>
      </w:pPr>
      <w:r>
        <w:rPr>
          <w:b/>
        </w:rPr>
        <w:t>40 registros del historial de precios no tienen costo unitario</w:t>
      </w:r>
      <w:r>
        <w:t>, y corresponden exactamente a los mismos 22 productos del bloque anterior.</w:t>
      </w:r>
    </w:p>
    <w:p>
      <w:pPr>
        <w:pStyle w:val="ListBullet"/>
        <w:spacing w:after="40"/>
      </w:pPr>
      <w:r>
        <w:rPr>
          <w:b/>
        </w:rPr>
        <w:t xml:space="preserve">El vacío es total por producto: </w:t>
      </w:r>
      <w:r>
        <w:t>ninguno de los 22 tiene costo cargado en una vigencia y vacío en otra.</w:t>
      </w:r>
    </w:p>
    <w:p>
      <w:pPr>
        <w:pStyle w:val="ListBullet"/>
        <w:spacing w:after="40"/>
      </w:pPr>
      <w:r>
        <w:rPr>
          <w:b/>
        </w:rPr>
        <w:t>En esos 40 registros el precio de lista sí está cargado.</w:t>
      </w:r>
      <w:r>
        <w:t xml:space="preserve"> Falta únicamente el costo.</w:t>
      </w:r>
    </w:p>
    <w:p>
      <w:pPr>
        <w:pStyle w:val="ListBullet"/>
        <w:spacing w:after="40"/>
      </w:pPr>
      <w:r>
        <w:rPr>
          <w:b/>
        </w:rPr>
        <w:t xml:space="preserve">El resto del historial es consistente: </w:t>
      </w:r>
      <w:r>
        <w:t>no hay vigencias solapadas ni períodos sin cubrir, la última vigencia de cada producto coincide con el precio del catálogo en los 800 casos, y la primera coincide con la fecha de alta en los 800.</w:t>
      </w:r>
    </w:p>
    <w:p>
      <w:pPr>
        <w:pStyle w:val="ListBullet"/>
        <w:spacing w:after="40"/>
      </w:pPr>
      <w:r>
        <w:rPr>
          <w:b/>
        </w:rPr>
        <w:t xml:space="preserve">Entre una vigencia y la siguiente, </w:t>
      </w:r>
      <w:r>
        <w:t>el precio de lista sube 86% en la mediana, con casos de hasta 393%.</w:t>
      </w:r>
    </w:p>
    <w:p>
      <w:pPr>
        <w:spacing w:before="120" w:after="60"/>
      </w:pPr>
      <w:r>
        <w:rPr>
          <w:b/>
          <w:color w:val="C0392B"/>
        </w:rPr>
        <w:t xml:space="preserve">P8. </w:t>
      </w:r>
      <w:r>
        <w:rPr>
          <w:b/>
        </w:rPr>
        <w:t>¿Cuál de los dos sistemas es la fuente maestra del costo: el catálogo de productos o el historial de precios? Si los valores difieren, ¿cuál debe prevalecer?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P9. </w:t>
      </w:r>
      <w:r>
        <w:rPr>
          <w:b/>
        </w:rPr>
        <w:t>¿Cómo se alimenta el historial de precios? ¿Se genera a partir del catálogo o son cargas independientes?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P10. </w:t>
      </w:r>
      <w:r>
        <w:rPr>
          <w:b/>
        </w:rPr>
        <w:t>Cuando cambia el costo de un producto, ¿qué se registra? ¿Se abre una vigencia nueva o se actualiza el valor existente?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P11. </w:t>
      </w:r>
      <w:r>
        <w:rPr>
          <w:b/>
        </w:rPr>
        <w:t>Cuando un producto se compra a más de un proveedor con costos distintos, ¿cómo se registra esa situación? Lo consultamos porque hay 15 productos que figuran en el catálogo con dos proveedores, y el historial guarda un único costo por producto y vigencia.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P12. </w:t>
      </w:r>
      <w:r>
        <w:rPr>
          <w:b/>
        </w:rPr>
        <w:t>¿A qué responden las variaciones de precio entre vigencias? ¿Siguen algún criterio de actualización definido?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P13. </w:t>
      </w:r>
      <w:r>
        <w:rPr>
          <w:b/>
        </w:rPr>
        <w:t>¿Los análisis de venta y de margen deben hacerse a precios corrientes de cada período, o hay una referencia que la empresa use para comparar valores entre años?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rPr>
          <w:color w:val="1F3A5F"/>
        </w:rPr>
        <w:t>Bloque 3 · Valores que no pueden existir por definición</w:t>
      </w:r>
    </w:p>
    <w:p>
      <w:pPr>
        <w:spacing w:after="80"/>
      </w:pPr>
      <w:r>
        <w:rPr>
          <w:b w:val="0"/>
          <w:i w:val="0"/>
        </w:rPr>
        <w:t>Encontramos 5.854 registros con valores que contradicen la naturaleza de la variable. No son valores extremos discutibles: son datos imposibles, como un stock negativo.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Caso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Registros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19"/>
              </w:rPr>
              <w:t>Rango del problema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Fuente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Stock disponible negativo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1.209</w:t>
            </w:r>
          </w:p>
        </w:tc>
        <w:tc>
          <w:tcPr>
            <w:tcW w:type="dxa" w:w="3005"/>
          </w:tcPr>
          <w:p>
            <w:r/>
            <w:r>
              <w:rPr>
                <w:sz w:val="19"/>
              </w:rPr>
              <w:t>hasta −152 unidades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por SKU, tienda y mes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Unidades vendidas negativas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2.317</w:t>
            </w:r>
          </w:p>
        </w:tc>
        <w:tc>
          <w:tcPr>
            <w:tcW w:type="dxa" w:w="3005"/>
          </w:tcPr>
          <w:p>
            <w:r/>
            <w:r>
              <w:rPr>
                <w:sz w:val="19"/>
              </w:rPr>
              <w:t>hasta −26 unidades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Ventas por SKU, tienda y mes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Venta neta negativa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2.317</w:t>
            </w:r>
          </w:p>
        </w:tc>
        <w:tc>
          <w:tcPr>
            <w:tcW w:type="dxa" w:w="3005"/>
          </w:tcPr>
          <w:p>
            <w:r/>
            <w:r>
              <w:rPr>
                <w:sz w:val="19"/>
              </w:rPr>
              <w:t>hasta −$1.705.312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Ventas por SKU, tienda y mes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Descuento fuera del rango 0-100%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005"/>
          </w:tcPr>
          <w:p>
            <w:r/>
            <w:r>
              <w:rPr>
                <w:sz w:val="19"/>
              </w:rPr>
              <w:t>120%, 120% y −10%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Liquidaciones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Descuento fuera del rango 0-100%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005"/>
          </w:tcPr>
          <w:p>
            <w:r/>
            <w:r>
              <w:rPr>
                <w:sz w:val="19"/>
              </w:rPr>
              <w:t>150% y −15%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Promociones comerciales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Presupuesto o unidades negativas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3005"/>
          </w:tcPr>
          <w:p>
            <w:r/>
            <w:r>
              <w:rPr>
                <w:sz w:val="19"/>
              </w:rPr>
              <w:t>hasta −$963.369 y −9 unidades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Presupuesto de ventas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3.1 Stock disponible negativo (1.209 registros)</w:t>
      </w:r>
    </w:p>
    <w:p>
      <w:pPr>
        <w:spacing w:after="80"/>
      </w:pPr>
      <w:r>
        <w:rPr>
          <w:b/>
          <w:i w:val="0"/>
        </w:rPr>
        <w:t>Qué encontramos en los datos</w:t>
      </w:r>
    </w:p>
    <w:p>
      <w:pPr>
        <w:pStyle w:val="ListBullet"/>
        <w:spacing w:after="40"/>
      </w:pPr>
      <w:r>
        <w:rPr>
          <w:b/>
        </w:rPr>
        <w:t xml:space="preserve">Está repartido, no concentrado: </w:t>
      </w:r>
      <w:r>
        <w:t>afecta a 548 productos, a las 28 tiendas y a 1.117 combinaciones distintas de producto y tienda.</w:t>
      </w:r>
    </w:p>
    <w:p>
      <w:pPr>
        <w:pStyle w:val="ListBullet"/>
        <w:spacing w:after="40"/>
      </w:pPr>
      <w:r>
        <w:rPr>
          <w:b/>
        </w:rPr>
        <w:t xml:space="preserve">Aumenta a lo largo del tiempo: </w:t>
      </w:r>
      <w:r>
        <w:t>67 casos en 2022, 255 en 2023, 394 en 2024 y 493 en 2025.</w:t>
      </w:r>
    </w:p>
    <w:p>
      <w:pPr>
        <w:pStyle w:val="ListBullet"/>
        <w:spacing w:after="40"/>
      </w:pPr>
      <w:r>
        <w:rPr>
          <w:b/>
        </w:rPr>
        <w:t xml:space="preserve">Los valores son chicos: </w:t>
      </w:r>
      <w:r>
        <w:t>la mediana es de −11 unidades y solo 5 registros superan las 100 unidades.</w:t>
      </w:r>
    </w:p>
    <w:p>
      <w:pPr>
        <w:pStyle w:val="ListBullet"/>
        <w:spacing w:after="40"/>
      </w:pPr>
      <w:r>
        <w:rPr>
          <w:b/>
        </w:rPr>
        <w:t>El 81,6% de esos registros tuvo ventas ese mismo mes</w:t>
      </w:r>
      <w:r>
        <w:t xml:space="preserve"> y el tamaño del faltante acompaña a las unidades vendidas.</w:t>
      </w:r>
    </w:p>
    <w:p>
      <w:pPr>
        <w:pStyle w:val="ListBullet"/>
        <w:spacing w:after="40"/>
      </w:pPr>
      <w:r>
        <w:rPr>
          <w:b/>
        </w:rPr>
        <w:t xml:space="preserve">En 1.148 de los 1.209 casos, </w:t>
      </w:r>
      <w:r>
        <w:t>el mes siguiente esa misma combinación vuelve a tener stock positivo.</w:t>
      </w:r>
    </w:p>
    <w:p>
      <w:pPr>
        <w:spacing w:before="120" w:after="60"/>
      </w:pPr>
      <w:r>
        <w:rPr>
          <w:b/>
          <w:color w:val="C0392B"/>
        </w:rPr>
        <w:t xml:space="preserve">P14. </w:t>
      </w:r>
      <w:r>
        <w:rPr>
          <w:b/>
        </w:rPr>
        <w:t>¿Qué representa un stock negativo en el reporte? ¿A qué situación operativa corresponde?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P15. </w:t>
      </w:r>
      <w:r>
        <w:rPr>
          <w:b/>
        </w:rPr>
        <w:t>¿Existe algún proceso de conteo o ajuste posterior que corrija estos casos? Si existe, ¿podemos recibir esos ajustes?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P16. </w:t>
      </w:r>
      <w:r>
        <w:rPr>
          <w:b/>
        </w:rPr>
        <w:t>¿Cómo quieren que tratemos estos registros en el análisis?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P17. </w:t>
      </w:r>
      <w:r>
        <w:rPr>
          <w:b/>
        </w:rPr>
        <w:t>¿Hay algún control previsto para evitar que el stock quede en negativo?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pStyle w:val="Heading2"/>
      </w:pPr>
      <w:r>
        <w:rPr>
          <w:color w:val="1F3A5F"/>
        </w:rPr>
        <w:t>3.2 Unidades y venta neta negativas (2.317 registros)</w:t>
      </w:r>
    </w:p>
    <w:p>
      <w:pPr>
        <w:spacing w:after="80"/>
      </w:pPr>
      <w:r>
        <w:rPr>
          <w:b/>
          <w:i w:val="0"/>
        </w:rPr>
        <w:t>Qué encontramos en los datos</w:t>
      </w:r>
    </w:p>
    <w:p>
      <w:pPr>
        <w:pStyle w:val="ListBullet"/>
        <w:spacing w:after="40"/>
      </w:pPr>
      <w:r>
        <w:rPr>
          <w:b/>
        </w:rPr>
        <w:t>Los 2.317 registros negativos de venta coinciden uno a uno con los 2.317 registros del dataset de devoluciones</w:t>
      </w:r>
      <w:r>
        <w:t>: misma tienda, mismo producto, mismo mes y las mismas unidades.</w:t>
      </w:r>
    </w:p>
    <w:p>
      <w:pPr>
        <w:pStyle w:val="ListBullet"/>
        <w:spacing w:after="40"/>
      </w:pPr>
      <w:r>
        <w:rPr>
          <w:b/>
        </w:rPr>
        <w:t xml:space="preserve">Representan 9.583 unidades, </w:t>
      </w:r>
      <w:r>
        <w:t>el 1,27% de las unidades vendidas en el período.</w:t>
      </w:r>
    </w:p>
    <w:p>
      <w:pPr>
        <w:pStyle w:val="ListBullet"/>
        <w:spacing w:after="40"/>
      </w:pPr>
      <w:r>
        <w:rPr>
          <w:b/>
        </w:rPr>
        <w:t xml:space="preserve">Por motivo de devolución: </w:t>
      </w:r>
      <w:r>
        <w:t>producto dañado en logística 499 casos, producto sin rotación o no vendido 471, devolución de cliente por cambio 466, error de picking 446 y defecto de fabricación 435.</w:t>
      </w:r>
    </w:p>
    <w:p>
      <w:pPr>
        <w:pStyle w:val="ListBullet"/>
        <w:spacing w:after="40"/>
      </w:pPr>
      <w:r>
        <w:rPr>
          <w:b/>
        </w:rPr>
        <w:t xml:space="preserve">En solo 40 de los 2.317 casos </w:t>
      </w:r>
      <w:r>
        <w:t>existe además un registro de venta positiva del mismo producto, tienda y mes.</w:t>
      </w:r>
    </w:p>
    <w:p>
      <w:pPr>
        <w:spacing w:before="120" w:after="60"/>
      </w:pPr>
      <w:r>
        <w:rPr>
          <w:b/>
          <w:color w:val="C0392B"/>
        </w:rPr>
        <w:t xml:space="preserve">P18. </w:t>
      </w:r>
      <w:r>
        <w:rPr>
          <w:b/>
        </w:rPr>
        <w:t>¿Qué operación hay detrás de cada uno de los cinco motivos de devolución? Nos interesa entender en particular qué significa “producto sin rotación / no vendido”.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P19. </w:t>
      </w:r>
      <w:r>
        <w:rPr>
          <w:b/>
        </w:rPr>
        <w:t>¿Todos esos motivos se registran como una venta negativa en el sistema, o algunos deberían ser movimientos de inventario?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P20. </w:t>
      </w:r>
      <w:r>
        <w:rPr>
          <w:b/>
        </w:rPr>
        <w:t>¿La venta neta que figura en el reporte ya tiene descontadas las devoluciones, o el reporte las presenta como un registro separado?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P21. </w:t>
      </w:r>
      <w:r>
        <w:rPr>
          <w:b/>
        </w:rPr>
        <w:t>Cuando se devuelve una unidad, ¿qué sucede físicamente con ella? ¿Vuelve al stock vendible de la tienda, se da de baja o se devuelve al proveedor?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P22. </w:t>
      </w:r>
      <w:r>
        <w:rPr>
          <w:b/>
        </w:rPr>
        <w:t>¿Existe la posibilidad de devolverle mercadería sin rotación al proveedor? Si existe, ¿bajo qué condiciones y con qué proveedores?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P23. </w:t>
      </w:r>
      <w:r>
        <w:rPr>
          <w:b/>
        </w:rPr>
        <w:t>¿Cómo quieren que tratemos estos registros al calcular el ritmo de venta de cada producto?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pStyle w:val="Heading2"/>
      </w:pPr>
      <w:r>
        <w:rPr>
          <w:color w:val="1F3A5F"/>
        </w:rPr>
        <w:t>3.3 Descuentos fuera del rango 0-100% (5 registros)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587"/>
          </w:tcPr>
          <w:p>
            <w:r/>
            <w:r>
              <w:rPr>
                <w:b/>
                <w:sz w:val="19"/>
              </w:rPr>
              <w:t>Registro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9"/>
              </w:rPr>
              <w:t>Producto / Categoría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</w:rPr>
              <w:t>Tienda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9"/>
              </w:rPr>
              <w:t>Fecha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Descuento</w:t>
            </w:r>
          </w:p>
        </w:tc>
        <w:tc>
          <w:tcPr>
            <w:tcW w:type="dxa" w:w="1871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LIQ0077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SKU00150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T11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11-dic-2023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120%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Fin de temporada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LIQ0477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SKU00236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T27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26-sep-2025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120%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Discontinuación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LIQ0306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SKU00308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T27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09-dic-2025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−10%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Baja rotación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PROMO0052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Textil hogar (Online)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15-dic-2023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150%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Navidad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PROMO0072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Baño (Online)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03-jun-2022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−15%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</w:rPr>
        <w:t>Dato de contexto: el resto de los descuentos toma solo valores redondos. En liquidaciones, de 10% a 50%; en promociones, de 5% a 40%.</w:t>
      </w:r>
    </w:p>
    <w:p>
      <w:pPr>
        <w:spacing w:before="120" w:after="60"/>
      </w:pPr>
      <w:r>
        <w:rPr>
          <w:b/>
          <w:color w:val="C0392B"/>
        </w:rPr>
        <w:t xml:space="preserve">P24. </w:t>
      </w:r>
      <w:r>
        <w:rPr>
          <w:b/>
        </w:rPr>
        <w:t>¿Qué significa un descuento de 120% o de 150%? ¿Corresponde a algún tipo de acción comercial?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P25. </w:t>
      </w:r>
      <w:r>
        <w:rPr>
          <w:b/>
        </w:rPr>
        <w:t>¿Y un descuento negativo, como −10% o −15%?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P26. </w:t>
      </w:r>
      <w:r>
        <w:rPr>
          <w:b/>
        </w:rPr>
        <w:t>¿Cuál es el rango válido de descuento según la política comercial? ¿Quién lo autoriza?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P27. </w:t>
      </w:r>
      <w:r>
        <w:rPr>
          <w:b/>
        </w:rPr>
        <w:t>¿El sistema valida el valor del descuento al momento de la carga?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P28. </w:t>
      </w:r>
      <w:r>
        <w:rPr>
          <w:b/>
        </w:rPr>
        <w:t>¿Cómo quieren que tratemos estos 5 registros en el análisis de margen?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pStyle w:val="Heading2"/>
      </w:pPr>
      <w:r>
        <w:rPr>
          <w:color w:val="1F3A5F"/>
        </w:rPr>
        <w:t>3.4 Presupuesto con valores negativos o en cero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474"/>
          </w:tcPr>
          <w:p>
            <w:r/>
            <w:r>
              <w:rPr>
                <w:b/>
                <w:sz w:val="19"/>
              </w:rPr>
              <w:t>Mes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Tienda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</w:rPr>
              <w:t>Categoría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9"/>
              </w:rPr>
              <w:t>Presupuesto $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9"/>
              </w:rPr>
              <w:t>Presupuesto unidades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jun-2022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T07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Textil hogar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33.895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−2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jun-2022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T22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Baño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−6.596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4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jul-2022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T17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Iluminación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−963.369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−9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ene-2023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T24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Iluminación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−514.763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14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may-2023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T10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Organización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359.860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−4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</w:rPr>
        <w:t>Además hay 309 celdas con presupuesto en cero, todas entre enero y mayo de 2022 y repartidas en las 28 tiendas. Como referencia, el presupuesto promedio de una celda en 2022 es de $850.428.</w:t>
      </w:r>
    </w:p>
    <w:p>
      <w:pPr>
        <w:spacing w:before="120" w:after="60"/>
      </w:pPr>
      <w:r>
        <w:rPr>
          <w:b/>
          <w:color w:val="C0392B"/>
        </w:rPr>
        <w:t xml:space="preserve">P29. </w:t>
      </w:r>
      <w:r>
        <w:rPr>
          <w:b/>
        </w:rPr>
        <w:t>¿Qué significa un presupuesto negativo? ¿Corresponde a un ajuste o corrección sobre otro período?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P30. </w:t>
      </w:r>
      <w:r>
        <w:rPr>
          <w:b/>
        </w:rPr>
        <w:t>¿Y un presupuesto en cero? ¿Significa que no se asignó meta para ese mes, o que el dato no llegó a cargarse?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P31. </w:t>
      </w:r>
      <w:r>
        <w:rPr>
          <w:b/>
        </w:rPr>
        <w:t>¿Cómo se construye el presupuesto de ventas y quién lo aprueba?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pPr>
        <w:spacing w:before="120" w:after="60"/>
      </w:pPr>
      <w:r>
        <w:rPr>
          <w:b/>
          <w:color w:val="C0392B"/>
        </w:rPr>
        <w:t xml:space="preserve">P32. </w:t>
      </w:r>
      <w:r>
        <w:rPr>
          <w:b/>
        </w:rPr>
        <w:t>¿Cómo quieren que tratemos estos registros al medir el cumplimiento contra presupuesto?</w:t>
      </w:r>
    </w:p>
    <w:p>
      <w:pPr>
        <w:spacing w:after="160"/>
      </w:pPr>
      <w:r>
        <w:rPr>
          <w:i/>
          <w:color w:val="808080"/>
        </w:rPr>
        <w:t xml:space="preserve">Respuesta: </w:t>
      </w:r>
      <w:r>
        <w:rPr>
          <w:color w:val="BFBFBF"/>
        </w:rPr>
        <w:t>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rPr>
          <w:color w:val="1F3A5F"/>
        </w:rPr>
        <w:t>Resumen de lo que necesitamos definir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</w:tcPr>
          <w:p>
            <w:r/>
            <w:r>
              <w:rPr>
                <w:b/>
                <w:sz w:val="19"/>
              </w:rPr>
              <w:t>Tema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</w:rPr>
              <w:t>Preguntas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9"/>
              </w:rPr>
              <w:t>Área que puede responder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9"/>
              </w:rPr>
              <w:t>Impacto si no se define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Costo de 22 productos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P1 a P7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Compras y Categorías · Finanzas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No se puede valuar el capital inmovilizado de esos productos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Fuente maestra del costo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P8 a P13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Finanzas · Sistemas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Cálculo de margen y de capital a costo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Stock negativo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P14 a P17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Sistemas · Operaciones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Cálculo de cobertura y de meses de stock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Devoluciones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P18 a P23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Operaciones · Comercial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Definición de la variable que va a predecir el modelo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Descuentos fuera de rango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P24 a P28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Comercial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Análisis de margen en liquidaciones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Presupuesto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P29 a P32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Finanzas · Comercial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Indicador de desvío contra presupuesto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</w:rPr>
        <w:t>Los cuatro primeros temas son necesarios para avanzar con la etapa de modelado. Los dos últimos tienen un impacto acotado y pueden resolverse en paralelo.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</w:rPr>
        <w:t>Quedamos a disposición para coordinar una reunión si resulta más práctico que responder por escrito.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