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color w:val="808080"/>
          <w:sz w:val="20"/>
          <w:szCs w:val="20"/>
        </w:rPr>
        <w:t xml:space="preserve">Factibilidad de Proyectos Data Driven — 2C 2026</w:t>
      </w:r>
    </w:p>
    <w:p>
      <w:pPr>
        <w:spacing w:after="240"/>
        <w:jc w:val="center"/>
      </w:pPr>
      <w:r>
        <w:rPr>
          <w:color w:val="808080"/>
          <w:sz w:val="20"/>
          <w:szCs w:val="20"/>
        </w:rPr>
        <w:t xml:space="preserve">Entregable Nro 1</w:t>
      </w:r>
    </w:p>
    <w:p>
      <w:pPr>
        <w:spacing w:after="60" w:before="200"/>
        <w:jc w:val="center"/>
      </w:pPr>
      <w:r>
        <w:rPr>
          <w:b/>
          <w:bCs/>
          <w:color w:val="000000"/>
          <w:sz w:val="40"/>
          <w:szCs w:val="40"/>
        </w:rPr>
        <w:t xml:space="preserve">Casa Óga — Retail de Hogar y Decoración</w:t>
      </w:r>
    </w:p>
    <w:p>
      <w:pPr>
        <w:spacing w:after="320"/>
        <w:jc w:val="center"/>
      </w:pPr>
      <w:r>
        <w:rPr>
          <w:color w:val="C0504D"/>
          <w:sz w:val="26"/>
          <w:szCs w:val="26"/>
        </w:rPr>
        <w:t xml:space="preserve">Entregable 1 · Parte B — Objetivos, Stakeholders y Restricciones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00"/>
      </w:tblGrid>
      <w:tr>
        <w:tc>
          <w:tcPr>
            <w:tcW w:type="dxa" w:w="2200"/>
            <w:shd w:fill="F2F2F2" w:color="auto" w:val="clear"/>
            <w:tcMar>
              <w:top w:type="dxa" w:w="60"/>
              <w:left w:type="dxa" w:w="100"/>
              <w:bottom w:type="dxa" w:w="60"/>
              <w:right w:type="dxa" w:w="100"/>
            </w:tcMar>
          </w:tcPr>
          <w:p>
            <w:pPr>
              <w:spacing w:after="0" w:line="252"/>
              <w:jc w:val="left"/>
            </w:pPr>
            <w:r>
              <w:rPr>
                <w:b/>
                <w:bCs/>
                <w:color w:val="000000"/>
                <w:sz w:val="19"/>
                <w:szCs w:val="19"/>
              </w:rPr>
              <w:t xml:space="preserve">Integrante(s)</w:t>
            </w:r>
          </w:p>
        </w:tc>
        <w:tc>
          <w:tcPr>
            <w:tcW w:type="dxa" w:w="4300"/>
            <w:tcMar>
              <w:top w:type="dxa" w:w="60"/>
              <w:left w:type="dxa" w:w="100"/>
              <w:bottom w:type="dxa" w:w="60"/>
              <w:right w:type="dxa" w:w="100"/>
            </w:tcMar>
          </w:tcPr>
          <w:p>
            <w:pPr>
              <w:spacing w:after="0" w:line="252"/>
              <w:jc w:val="left"/>
            </w:pPr>
            <w:r>
              <w:rPr>
                <w:b/>
                <w:bCs/>
                <w:color w:val="000000"/>
                <w:sz w:val="19"/>
                <w:szCs w:val="19"/>
              </w:rPr>
              <w:t xml:space="preserve">Nombre(s) y legajos</w:t>
            </w:r>
          </w:p>
        </w:tc>
        <w:tc>
          <w:tcPr>
            <w:tcW w:type="dxa" w:w="2500"/>
            <w:tcMar>
              <w:top w:type="dxa" w:w="60"/>
              <w:left w:type="dxa" w:w="100"/>
              <w:bottom w:type="dxa" w:w="60"/>
              <w:right w:type="dxa" w:w="100"/>
            </w:tcMar>
          </w:tcPr>
          <w:p>
            <w:pPr>
              <w:spacing w:after="0" w:line="252"/>
              <w:jc w:val="left"/>
            </w:pPr>
            <w:r>
              <w:rPr>
                <w:b/>
                <w:bCs/>
                <w:color w:val="000000"/>
                <w:sz w:val="19"/>
                <w:szCs w:val="19"/>
              </w:rPr>
              <w:t xml:space="preserve">Rol asignado en esta fase</w:t>
            </w:r>
          </w:p>
        </w:tc>
      </w:tr>
      <w:tr>
        <w:tc>
          <w:tcPr>
            <w:tcW w:type="dxa" w:w="2200"/>
            <w:shd w:fill="F2F2F2" w:color="auto" w:val="clear"/>
            <w:tcMar>
              <w:top w:type="dxa" w:w="60"/>
              <w:left w:type="dxa" w:w="100"/>
              <w:bottom w:type="dxa" w:w="60"/>
              <w:right w:type="dxa" w:w="100"/>
            </w:tcMar>
          </w:tcPr>
          <w:p>
            <w:pPr>
              <w:spacing w:after="0" w:line="252"/>
              <w:jc w:val="left"/>
            </w:pPr>
            <w:r>
              <w:rPr>
                <w:b/>
                <w:bCs/>
                <w:color w:val="000000"/>
                <w:sz w:val="19"/>
                <w:szCs w:val="19"/>
              </w:rPr>
              <w:t xml:space="preserve"/>
            </w:r>
          </w:p>
        </w:tc>
        <w:tc>
          <w:tcPr>
            <w:tcW w:type="dxa" w:w="4300"/>
            <w:tcMar>
              <w:top w:type="dxa" w:w="60"/>
              <w:left w:type="dxa" w:w="100"/>
              <w:bottom w:type="dxa" w:w="60"/>
              <w:right w:type="dxa" w:w="100"/>
            </w:tcMar>
          </w:tcPr>
          <w:p>
            <w:pPr>
              <w:spacing w:after="0" w:line="252"/>
              <w:jc w:val="left"/>
            </w:pPr>
            <w:r>
              <w:rPr>
                <w:b w:val="false"/>
                <w:bCs w:val="false"/>
                <w:color w:val="000000"/>
                <w:sz w:val="19"/>
                <w:szCs w:val="19"/>
              </w:rPr>
              <w:t xml:space="preserve">Fasce Gerónimo</w:t>
            </w:r>
          </w:p>
        </w:tc>
        <w:tc>
          <w:tcPr>
            <w:tcW w:type="dxa" w:w="2500"/>
            <w:tcMar>
              <w:top w:type="dxa" w:w="60"/>
              <w:left w:type="dxa" w:w="100"/>
              <w:bottom w:type="dxa" w:w="60"/>
              <w:right w:type="dxa" w:w="100"/>
            </w:tcMar>
          </w:tcPr>
          <w:p>
            <w:pPr>
              <w:spacing w:after="0" w:line="252"/>
              <w:jc w:val="left"/>
            </w:pPr>
            <w:r>
              <w:rPr>
                <w:b w:val="false"/>
                <w:bCs w:val="false"/>
                <w:color w:val="000000"/>
                <w:sz w:val="19"/>
                <w:szCs w:val="19"/>
              </w:rPr>
              <w:t xml:space="preserve"/>
            </w:r>
          </w:p>
        </w:tc>
      </w:tr>
      <w:tr>
        <w:tc>
          <w:tcPr>
            <w:tcW w:type="dxa" w:w="2200"/>
            <w:shd w:fill="F2F2F2" w:color="auto" w:val="clear"/>
            <w:tcMar>
              <w:top w:type="dxa" w:w="60"/>
              <w:left w:type="dxa" w:w="100"/>
              <w:bottom w:type="dxa" w:w="60"/>
              <w:right w:type="dxa" w:w="100"/>
            </w:tcMar>
          </w:tcPr>
          <w:p>
            <w:pPr>
              <w:spacing w:after="0" w:line="252"/>
              <w:jc w:val="left"/>
            </w:pPr>
            <w:r>
              <w:rPr>
                <w:b/>
                <w:bCs/>
                <w:color w:val="000000"/>
                <w:sz w:val="19"/>
                <w:szCs w:val="19"/>
              </w:rPr>
              <w:t xml:space="preserve"/>
            </w:r>
          </w:p>
        </w:tc>
        <w:tc>
          <w:tcPr>
            <w:tcW w:type="dxa" w:w="4300"/>
            <w:tcMar>
              <w:top w:type="dxa" w:w="60"/>
              <w:left w:type="dxa" w:w="100"/>
              <w:bottom w:type="dxa" w:w="60"/>
              <w:right w:type="dxa" w:w="100"/>
            </w:tcMar>
          </w:tcPr>
          <w:p>
            <w:pPr>
              <w:spacing w:after="0" w:line="252"/>
              <w:jc w:val="left"/>
            </w:pPr>
            <w:r>
              <w:rPr>
                <w:b w:val="false"/>
                <w:bCs w:val="false"/>
                <w:color w:val="000000"/>
                <w:sz w:val="19"/>
                <w:szCs w:val="19"/>
              </w:rPr>
              <w:t xml:space="preserve">Simón Volpato Escandarani</w:t>
            </w:r>
          </w:p>
        </w:tc>
        <w:tc>
          <w:tcPr>
            <w:tcW w:type="dxa" w:w="2500"/>
            <w:tcMar>
              <w:top w:type="dxa" w:w="60"/>
              <w:left w:type="dxa" w:w="100"/>
              <w:bottom w:type="dxa" w:w="60"/>
              <w:right w:type="dxa" w:w="100"/>
            </w:tcMar>
          </w:tcPr>
          <w:p>
            <w:pPr>
              <w:spacing w:after="0" w:line="252"/>
              <w:jc w:val="left"/>
            </w:pPr>
            <w:r>
              <w:rPr>
                <w:b w:val="false"/>
                <w:bCs w:val="false"/>
                <w:color w:val="000000"/>
                <w:sz w:val="19"/>
                <w:szCs w:val="19"/>
              </w:rPr>
              <w:t xml:space="preserve"/>
            </w:r>
          </w:p>
        </w:tc>
      </w:tr>
      <w:tr>
        <w:tc>
          <w:tcPr>
            <w:tcW w:type="dxa" w:w="2200"/>
            <w:shd w:fill="F2F2F2" w:color="auto" w:val="clear"/>
            <w:tcMar>
              <w:top w:type="dxa" w:w="60"/>
              <w:left w:type="dxa" w:w="100"/>
              <w:bottom w:type="dxa" w:w="60"/>
              <w:right w:type="dxa" w:w="100"/>
            </w:tcMar>
          </w:tcPr>
          <w:p>
            <w:pPr>
              <w:spacing w:after="0" w:line="252"/>
              <w:jc w:val="left"/>
            </w:pPr>
            <w:r>
              <w:rPr>
                <w:b/>
                <w:bCs/>
                <w:color w:val="000000"/>
                <w:sz w:val="19"/>
                <w:szCs w:val="19"/>
              </w:rPr>
              <w:t xml:space="preserve"/>
            </w:r>
          </w:p>
        </w:tc>
        <w:tc>
          <w:tcPr>
            <w:tcW w:type="dxa" w:w="4300"/>
            <w:tcMar>
              <w:top w:type="dxa" w:w="60"/>
              <w:left w:type="dxa" w:w="100"/>
              <w:bottom w:type="dxa" w:w="60"/>
              <w:right w:type="dxa" w:w="100"/>
            </w:tcMar>
          </w:tcPr>
          <w:p>
            <w:pPr>
              <w:spacing w:after="0" w:line="252"/>
              <w:jc w:val="left"/>
            </w:pPr>
            <w:r>
              <w:rPr>
                <w:b w:val="false"/>
                <w:bCs w:val="false"/>
                <w:color w:val="000000"/>
                <w:sz w:val="19"/>
                <w:szCs w:val="19"/>
              </w:rPr>
              <w:t xml:space="preserve">Gianfranco Di Claudio</w:t>
            </w:r>
          </w:p>
        </w:tc>
        <w:tc>
          <w:tcPr>
            <w:tcW w:type="dxa" w:w="2500"/>
            <w:tcMar>
              <w:top w:type="dxa" w:w="60"/>
              <w:left w:type="dxa" w:w="100"/>
              <w:bottom w:type="dxa" w:w="60"/>
              <w:right w:type="dxa" w:w="100"/>
            </w:tcMar>
          </w:tcPr>
          <w:p>
            <w:pPr>
              <w:spacing w:after="0" w:line="252"/>
              <w:jc w:val="left"/>
            </w:pPr>
            <w:r>
              <w:rPr>
                <w:b w:val="false"/>
                <w:bCs w:val="false"/>
                <w:color w:val="000000"/>
                <w:sz w:val="19"/>
                <w:szCs w:val="19"/>
              </w:rPr>
              <w:t xml:space="preserve"/>
            </w:r>
          </w:p>
        </w:tc>
      </w:tr>
      <w:tr>
        <w:tc>
          <w:tcPr>
            <w:tcW w:type="dxa" w:w="2200"/>
            <w:shd w:fill="F2F2F2" w:color="auto" w:val="clear"/>
            <w:tcMar>
              <w:top w:type="dxa" w:w="60"/>
              <w:left w:type="dxa" w:w="100"/>
              <w:bottom w:type="dxa" w:w="60"/>
              <w:right w:type="dxa" w:w="100"/>
            </w:tcMar>
          </w:tcPr>
          <w:p>
            <w:pPr>
              <w:spacing w:after="0" w:line="252"/>
              <w:jc w:val="left"/>
            </w:pPr>
            <w:r>
              <w:rPr>
                <w:b/>
                <w:bCs/>
                <w:color w:val="000000"/>
                <w:sz w:val="19"/>
                <w:szCs w:val="19"/>
              </w:rPr>
              <w:t xml:space="preserve"/>
            </w:r>
          </w:p>
        </w:tc>
        <w:tc>
          <w:tcPr>
            <w:tcW w:type="dxa" w:w="4300"/>
            <w:tcMar>
              <w:top w:type="dxa" w:w="60"/>
              <w:left w:type="dxa" w:w="100"/>
              <w:bottom w:type="dxa" w:w="60"/>
              <w:right w:type="dxa" w:w="100"/>
            </w:tcMar>
          </w:tcPr>
          <w:p>
            <w:pPr>
              <w:spacing w:after="0" w:line="252"/>
              <w:jc w:val="left"/>
            </w:pPr>
            <w:r>
              <w:rPr>
                <w:b w:val="false"/>
                <w:bCs w:val="false"/>
                <w:color w:val="000000"/>
                <w:sz w:val="19"/>
                <w:szCs w:val="19"/>
              </w:rPr>
              <w:t xml:space="preserve">Santiago Hernández</w:t>
            </w:r>
          </w:p>
        </w:tc>
        <w:tc>
          <w:tcPr>
            <w:tcW w:type="dxa" w:w="2500"/>
            <w:tcMar>
              <w:top w:type="dxa" w:w="60"/>
              <w:left w:type="dxa" w:w="100"/>
              <w:bottom w:type="dxa" w:w="60"/>
              <w:right w:type="dxa" w:w="100"/>
            </w:tcMar>
          </w:tcPr>
          <w:p>
            <w:pPr>
              <w:spacing w:after="0" w:line="252"/>
              <w:jc w:val="left"/>
            </w:pPr>
            <w:r>
              <w:rPr>
                <w:b w:val="false"/>
                <w:bCs w:val="false"/>
                <w:color w:val="000000"/>
                <w:sz w:val="19"/>
                <w:szCs w:val="19"/>
              </w:rPr>
              <w:t xml:space="preserve"/>
            </w:r>
          </w:p>
        </w:tc>
      </w:tr>
      <w:tr>
        <w:tc>
          <w:tcPr>
            <w:tcW w:type="dxa" w:w="2200"/>
            <w:shd w:fill="F2F2F2" w:color="auto" w:val="clear"/>
            <w:tcMar>
              <w:top w:type="dxa" w:w="60"/>
              <w:left w:type="dxa" w:w="100"/>
              <w:bottom w:type="dxa" w:w="60"/>
              <w:right w:type="dxa" w:w="100"/>
            </w:tcMar>
          </w:tcPr>
          <w:p>
            <w:pPr>
              <w:spacing w:after="0" w:line="252"/>
              <w:jc w:val="left"/>
            </w:pPr>
            <w:r>
              <w:rPr>
                <w:b/>
                <w:bCs/>
                <w:color w:val="000000"/>
                <w:sz w:val="19"/>
                <w:szCs w:val="19"/>
              </w:rPr>
              <w:t xml:space="preserve"/>
            </w:r>
          </w:p>
        </w:tc>
        <w:tc>
          <w:tcPr>
            <w:tcW w:type="dxa" w:w="4300"/>
            <w:tcMar>
              <w:top w:type="dxa" w:w="60"/>
              <w:left w:type="dxa" w:w="100"/>
              <w:bottom w:type="dxa" w:w="60"/>
              <w:right w:type="dxa" w:w="100"/>
            </w:tcMar>
          </w:tcPr>
          <w:p>
            <w:pPr>
              <w:spacing w:after="0" w:line="252"/>
              <w:jc w:val="left"/>
            </w:pPr>
            <w:r>
              <w:rPr>
                <w:b w:val="false"/>
                <w:bCs w:val="false"/>
                <w:color w:val="000000"/>
                <w:sz w:val="19"/>
                <w:szCs w:val="19"/>
              </w:rPr>
              <w:t xml:space="preserve">Matías Fleischer</w:t>
            </w:r>
          </w:p>
        </w:tc>
        <w:tc>
          <w:tcPr>
            <w:tcW w:type="dxa" w:w="2500"/>
            <w:tcMar>
              <w:top w:type="dxa" w:w="60"/>
              <w:left w:type="dxa" w:w="100"/>
              <w:bottom w:type="dxa" w:w="60"/>
              <w:right w:type="dxa" w:w="100"/>
            </w:tcMar>
          </w:tcPr>
          <w:p>
            <w:pPr>
              <w:spacing w:after="0" w:line="252"/>
              <w:jc w:val="left"/>
            </w:pPr>
            <w:r>
              <w:rPr>
                <w:b w:val="false"/>
                <w:bCs w:val="false"/>
                <w:color w:val="000000"/>
                <w:sz w:val="19"/>
                <w:szCs w:val="19"/>
              </w:rPr>
              <w:t xml:space="preserve"/>
            </w:r>
          </w:p>
        </w:tc>
      </w:tr>
      <w:tr>
        <w:tc>
          <w:tcPr>
            <w:tcW w:type="dxa" w:w="2200"/>
            <w:shd w:fill="F2F2F2" w:color="auto" w:val="clear"/>
            <w:tcMar>
              <w:top w:type="dxa" w:w="60"/>
              <w:left w:type="dxa" w:w="100"/>
              <w:bottom w:type="dxa" w:w="60"/>
              <w:right w:type="dxa" w:w="100"/>
            </w:tcMar>
          </w:tcPr>
          <w:p>
            <w:pPr>
              <w:spacing w:after="0" w:line="252"/>
              <w:jc w:val="left"/>
            </w:pPr>
            <w:r>
              <w:rPr>
                <w:b/>
                <w:bCs/>
                <w:color w:val="000000"/>
                <w:sz w:val="19"/>
                <w:szCs w:val="19"/>
              </w:rPr>
              <w:t xml:space="preserve">Fecha de entrega</w:t>
            </w:r>
          </w:p>
        </w:tc>
        <w:tc>
          <w:tcPr>
            <w:tcW w:type="dxa" w:w="4300"/>
            <w:tcMar>
              <w:top w:type="dxa" w:w="60"/>
              <w:left w:type="dxa" w:w="100"/>
              <w:bottom w:type="dxa" w:w="60"/>
              <w:right w:type="dxa" w:w="100"/>
            </w:tcMar>
          </w:tcPr>
          <w:p>
            <w:pPr>
              <w:spacing w:after="0" w:line="252"/>
              <w:jc w:val="left"/>
            </w:pPr>
            <w:r>
              <w:rPr>
                <w:b w:val="false"/>
                <w:bCs w:val="false"/>
                <w:color w:val="000000"/>
                <w:sz w:val="19"/>
                <w:szCs w:val="19"/>
              </w:rPr>
              <w:t xml:space="preserve">17/08/2026</w:t>
            </w:r>
          </w:p>
        </w:tc>
        <w:tc>
          <w:tcPr>
            <w:tcW w:type="dxa" w:w="2500"/>
            <w:tcMar>
              <w:top w:type="dxa" w:w="60"/>
              <w:left w:type="dxa" w:w="100"/>
              <w:bottom w:type="dxa" w:w="60"/>
              <w:right w:type="dxa" w:w="100"/>
            </w:tcMar>
          </w:tcPr>
          <w:p>
            <w:pPr>
              <w:spacing w:after="0" w:line="252"/>
              <w:jc w:val="left"/>
            </w:pPr>
            <w:r>
              <w:rPr>
                <w:b w:val="false"/>
                <w:bCs w:val="false"/>
                <w:color w:val="000000"/>
                <w:sz w:val="19"/>
                <w:szCs w:val="19"/>
              </w:rPr>
              <w:t xml:space="preserve"/>
            </w:r>
          </w:p>
        </w:tc>
      </w:tr>
      <w:tr>
        <w:tc>
          <w:tcPr>
            <w:tcW w:type="dxa" w:w="2200"/>
            <w:shd w:fill="F2F2F2" w:color="auto" w:val="clear"/>
            <w:tcMar>
              <w:top w:type="dxa" w:w="60"/>
              <w:left w:type="dxa" w:w="100"/>
              <w:bottom w:type="dxa" w:w="60"/>
              <w:right w:type="dxa" w:w="100"/>
            </w:tcMar>
          </w:tcPr>
          <w:p>
            <w:pPr>
              <w:spacing w:after="0" w:line="252"/>
              <w:jc w:val="left"/>
            </w:pPr>
            <w:r>
              <w:rPr>
                <w:b/>
                <w:bCs/>
                <w:color w:val="000000"/>
                <w:sz w:val="19"/>
                <w:szCs w:val="19"/>
              </w:rPr>
              <w:t xml:space="preserve">Versión</w:t>
            </w:r>
          </w:p>
        </w:tc>
        <w:tc>
          <w:tcPr>
            <w:tcW w:type="dxa" w:w="4300"/>
            <w:tcMar>
              <w:top w:type="dxa" w:w="60"/>
              <w:left w:type="dxa" w:w="100"/>
              <w:bottom w:type="dxa" w:w="60"/>
              <w:right w:type="dxa" w:w="100"/>
            </w:tcMar>
          </w:tcPr>
          <w:p>
            <w:pPr>
              <w:spacing w:after="0" w:line="252"/>
              <w:jc w:val="left"/>
            </w:pPr>
            <w:r>
              <w:rPr>
                <w:b w:val="false"/>
                <w:bCs w:val="false"/>
                <w:color w:val="000000"/>
                <w:sz w:val="19"/>
                <w:szCs w:val="19"/>
              </w:rPr>
              <w:t xml:space="preserve">v1.0</w:t>
            </w:r>
          </w:p>
        </w:tc>
        <w:tc>
          <w:tcPr>
            <w:tcW w:type="dxa" w:w="2500"/>
            <w:tcMar>
              <w:top w:type="dxa" w:w="60"/>
              <w:left w:type="dxa" w:w="100"/>
              <w:bottom w:type="dxa" w:w="60"/>
              <w:right w:type="dxa" w:w="100"/>
            </w:tcMar>
          </w:tcPr>
          <w:p>
            <w:pPr>
              <w:spacing w:after="0" w:line="252"/>
              <w:jc w:val="left"/>
            </w:pPr>
            <w:r>
              <w:rPr>
                <w:b w:val="false"/>
                <w:bCs w:val="false"/>
                <w:color w:val="000000"/>
                <w:sz w:val="19"/>
                <w:szCs w:val="19"/>
              </w:rPr>
              <w:t xml:space="preserve"/>
            </w:r>
          </w:p>
        </w:tc>
      </w:tr>
    </w:tbl>
    <w:p>
      <w:pPr>
        <w:spacing w:before="200"/>
      </w:pPr>
      <w:r>
        <w:rPr>
          <w:sz w:val="2"/>
          <w:szCs w:val="2"/>
        </w:rPr>
        <w:t xml:space="preserve"/>
      </w:r>
    </w:p>
    <w:p>
      <w:pPr>
        <w:pStyle w:val="Heading1"/>
        <w:shd w:fill="F2F2F2" w:color="auto" w:val="clear"/>
        <w:spacing w:after="160" w:before="320"/>
      </w:pPr>
      <w:r>
        <w:rPr>
          <w:b/>
          <w:bCs/>
          <w:color w:val="000000"/>
          <w:sz w:val="28"/>
          <w:szCs w:val="28"/>
        </w:rPr>
        <w:t xml:space="preserve">Sección 1 · Objetivos del negocio y Problem Statement</w:t>
      </w:r>
    </w:p>
    <w:p>
      <w:pPr>
        <w:pStyle w:val="Heading2"/>
        <w:spacing w:after="100" w:before="240"/>
      </w:pPr>
      <w:r>
        <w:rPr>
          <w:b/>
          <w:bCs/>
          <w:color w:val="C0504D"/>
          <w:sz w:val="22"/>
          <w:szCs w:val="22"/>
        </w:rPr>
        <w:t xml:space="preserve">1.1 Objetivo general del proyecto</w:t>
      </w:r>
    </w:p>
    <w:p>
      <w:pPr>
        <w:spacing w:after="120" w:line="276"/>
        <w:jc w:val="both"/>
      </w:pPr>
      <w:r>
        <w:rPr>
          <w:sz w:val="21"/>
          <w:szCs w:val="21"/>
        </w:rPr>
        <w:t xml:space="preserve">Desarrollar y entregar un modelo predictivo que estime, para cada producto activo a nivel SKU–tienda, la probabilidad de convertirse en dead stock (stock de baja rotación) dentro de un horizonte de 60 a 90 días (3 meses), a partir de información histórica de ventas, stock, catálogo y liquidaciones. La finalidad es dotar a Casa Óga de una herramienta accionable e integrable con sus sistemas internos, que transforme la detección hoy reactiva en una anticipación proactiva del riesgo, permitiendo liberar capital de trabajo inmovilizado, optimizar el mix de productos por tienda y sostener el crecimiento con foco en rentabilidad y eficiencia de capital, en línea con la estrategia corporativa vigente.</w:t>
      </w:r>
    </w:p>
    <w:p>
      <w:pPr>
        <w:pStyle w:val="Heading2"/>
        <w:spacing w:after="100" w:before="240"/>
      </w:pPr>
      <w:r>
        <w:rPr>
          <w:b/>
          <w:bCs/>
          <w:color w:val="C0504D"/>
          <w:sz w:val="22"/>
          <w:szCs w:val="22"/>
        </w:rPr>
        <w:t xml:space="preserve">1.2 Objetivos específicos</w:t>
      </w:r>
    </w:p>
    <w:p>
      <w:pPr>
        <w:pStyle w:val="ListParagraph"/>
        <w:numPr>
          <w:ilvl w:val="0"/>
          <w:numId w:val="2"/>
        </w:numPr>
        <w:spacing w:after="100" w:line="264"/>
        <w:jc w:val="both"/>
      </w:pPr>
      <w:r>
        <w:rPr>
          <w:b/>
          <w:bCs/>
          <w:sz w:val="21"/>
          <w:szCs w:val="21"/>
        </w:rPr>
        <w:t xml:space="preserve">OE1 — Definición del objetivo (target): </w:t>
      </w:r>
      <w:r>
        <w:rPr>
          <w:sz w:val="21"/>
          <w:szCs w:val="21"/>
        </w:rPr>
        <w:t xml:space="preserve">Definir y validar con el negocio un umbral objetivo de dead stock relativo a la rotación histórica esperada de cada SKU (no absoluto) y diferenciado por categoría, para no penalizar la estacionalidad, junto con un horizonte de predicción de 60–90 días. La definición debe ser aprobada formalmente por María G. (Dirección Comercial), con el visto bueno de Carlos F. (Dirección Financiera) sobre el criterio de stock y cobertura.</w:t>
      </w:r>
    </w:p>
    <w:p>
      <w:pPr>
        <w:pStyle w:val="ListParagraph"/>
        <w:numPr>
          <w:ilvl w:val="0"/>
          <w:numId w:val="2"/>
        </w:numPr>
        <w:spacing w:after="100" w:line="264"/>
        <w:jc w:val="both"/>
      </w:pPr>
      <w:r>
        <w:rPr>
          <w:b/>
          <w:bCs/>
          <w:sz w:val="21"/>
          <w:szCs w:val="21"/>
        </w:rPr>
        <w:t xml:space="preserve">OE2 — Consolidación y calidad de datos: </w:t>
      </w:r>
      <w:r>
        <w:rPr>
          <w:sz w:val="21"/>
          <w:szCs w:val="21"/>
        </w:rPr>
        <w:t xml:space="preserve">Construir un dataset consolidado y consistente a nivel SKU–tienda–mes, resolviendo con criterios validados por el negocio las inconsistencias detectadas en el EDA: ~2.378 combinaciones (mes, tienda, SKU) duplicadas, montos negativos, SKUs duplicados en catálogo (15 casos), categorías inconsistentes (11 variantes para 7 categorías reales) y valores faltantes. Como criterios provisorios acordados: para las combinaciones duplicadas se conservará el registro con venta real; las devoluciones se tratarán en un dataset aparte (no se netean en la serie de ventas) y el stock negativo se corregirá como error de sincronización; y se definirá junto al negocio una tabla estandarizada de categorías.</w:t>
      </w:r>
    </w:p>
    <w:p>
      <w:pPr>
        <w:pStyle w:val="ListParagraph"/>
        <w:numPr>
          <w:ilvl w:val="0"/>
          <w:numId w:val="2"/>
        </w:numPr>
        <w:spacing w:after="100" w:line="264"/>
        <w:jc w:val="both"/>
      </w:pPr>
      <w:r>
        <w:rPr>
          <w:b/>
          <w:bCs/>
          <w:sz w:val="21"/>
          <w:szCs w:val="21"/>
        </w:rPr>
        <w:t xml:space="preserve">OE3 — Modelo predictivo explicable: </w:t>
      </w:r>
      <w:r>
        <w:rPr>
          <w:sz w:val="21"/>
          <w:szCs w:val="21"/>
        </w:rPr>
        <w:t xml:space="preserve">Desarrollar y evaluar un modelo que priorice un recall alto en la clase de riesgo —dado que el negocio considera más costoso el falso negativo (no detectar un producto que queda inmovilizado) que el falso positivo—, entregando su salida como un semáforo de riesgo combinado con un ranking de los productos más urgentes a intervenir por tienda. El modelo debe ser explicable: para cada SKU marcado en riesgo se deben poder mostrar las variables principales que fundamentan la alerta, ya que Comercial necesita justificarla ante proveedores y la organización.</w:t>
      </w:r>
    </w:p>
    <w:p>
      <w:pPr>
        <w:pStyle w:val="ListParagraph"/>
        <w:numPr>
          <w:ilvl w:val="0"/>
          <w:numId w:val="2"/>
        </w:numPr>
        <w:spacing w:after="100" w:line="264"/>
        <w:jc w:val="both"/>
      </w:pPr>
      <w:r>
        <w:rPr>
          <w:b/>
          <w:bCs/>
          <w:sz w:val="21"/>
          <w:szCs w:val="21"/>
        </w:rPr>
        <w:t xml:space="preserve">OE4 — Cuantificación del impacto económico: </w:t>
      </w:r>
      <w:r>
        <w:rPr>
          <w:sz w:val="21"/>
          <w:szCs w:val="21"/>
        </w:rPr>
        <w:t xml:space="preserve">Estimar el capital inmovilizado en riesgo y el ahorro potencial por liquidación anticipada, utilizando la estimación de costo de almacenamiento y costo de capital provista por Dirección Financiera a nivel categoría (Costo_almacenamiento.csv), con posibilidad de ajuste a nivel SKU, y validando los parámetros de cálculo con Carlos F.</w:t>
      </w:r>
    </w:p>
    <w:p>
      <w:pPr>
        <w:pStyle w:val="ListParagraph"/>
        <w:numPr>
          <w:ilvl w:val="0"/>
          <w:numId w:val="2"/>
        </w:numPr>
        <w:spacing w:after="100" w:line="264"/>
        <w:jc w:val="both"/>
      </w:pPr>
      <w:r>
        <w:rPr>
          <w:b/>
          <w:bCs/>
          <w:sz w:val="21"/>
          <w:szCs w:val="21"/>
        </w:rPr>
        <w:t xml:space="preserve">OE5 — Entrega accionable y escalable: </w:t>
      </w:r>
      <w:r>
        <w:rPr>
          <w:sz w:val="21"/>
          <w:szCs w:val="21"/>
        </w:rPr>
        <w:t xml:space="preserve">Presentar el output dimensionado a la capacidad operativa real (15–25 intervenciones por tienda por mes), con una solución basada en herramientas open source, escalable gradualmente y sin grandes inversiones de infraestructura, dentro del presupuesto de USD 30.000.</w:t>
      </w:r>
    </w:p>
    <w:p>
      <w:pPr>
        <w:pStyle w:val="Heading2"/>
        <w:spacing w:after="100" w:before="240"/>
      </w:pPr>
      <w:r>
        <w:rPr>
          <w:b/>
          <w:bCs/>
          <w:color w:val="C0504D"/>
          <w:sz w:val="22"/>
          <w:szCs w:val="22"/>
        </w:rPr>
        <w:t xml:space="preserve">1.3 Problem Statement</w:t>
      </w:r>
    </w:p>
    <w:p>
      <w:pPr>
        <w:spacing w:after="120" w:line="276"/>
        <w:jc w:val="both"/>
      </w:pPr>
      <w:r>
        <w:rPr>
          <w:b/>
          <w:bCs/>
          <w:color w:val="1F4E79"/>
          <w:sz w:val="21"/>
          <w:szCs w:val="21"/>
        </w:rPr>
        <w:t xml:space="preserve">[CONTEXTO] </w:t>
      </w:r>
      <w:r>
        <w:rPr>
          <w:sz w:val="21"/>
          <w:szCs w:val="21"/>
        </w:rPr>
        <w:t xml:space="preserve">Casa Óga es una cadena argentina de retail de hogar y decoración con 28 tiendas físicas y canal e-commerce, caracterizada por alta rotación de productos, fuerte estacionalidad y uso intensivo de promociones. En un escenario de mayor competencia de precios y apertura importadora, la dirección redefinió su prioridad estratégica: pasar de expandir el catálogo a racionalizarlo, con foco en rentabilidad y eficiencia del capital de trabajo.</w:t>
      </w:r>
    </w:p>
    <w:p>
      <w:pPr>
        <w:spacing w:after="120" w:line="276"/>
        <w:jc w:val="both"/>
      </w:pPr>
      <w:r>
        <w:rPr>
          <w:b/>
          <w:bCs/>
          <w:color w:val="1F4E79"/>
          <w:sz w:val="21"/>
          <w:szCs w:val="21"/>
        </w:rPr>
        <w:t xml:space="preserve">[PROBLEMA] </w:t>
      </w:r>
      <w:r>
        <w:rPr>
          <w:sz w:val="21"/>
          <w:szCs w:val="21"/>
        </w:rPr>
        <w:t xml:space="preserve">El catálogo activo creció de forma sostenida, pero una proporción creciente de SKUs presenta muy baja rotación o directamente no registra ventas durante varios meses, inmovilizando capital de trabajo y ocupando espacio en góndola y depósito. Hoy la detección es reactiva —el problema se identifica recién en el conteo de inventario de fin de año o cuando ya se acumularon meses de costo de almacenamiento— y se apoya en el criterio individual de cada responsable, sin una definición formal de dead stock ni una estimación cuantitativa previa del riesgo. Como consecuencia, las liquidaciones llegan tarde y no se distingue de forma sistemática un producto de baja rotación estacional (normal) de uno que efectivamente dejó de tener demanda.</w:t>
      </w:r>
    </w:p>
    <w:p>
      <w:pPr>
        <w:spacing w:after="120" w:line="276"/>
        <w:jc w:val="both"/>
      </w:pPr>
      <w:r>
        <w:rPr>
          <w:b/>
          <w:bCs/>
          <w:color w:val="1F4E79"/>
          <w:sz w:val="21"/>
          <w:szCs w:val="21"/>
        </w:rPr>
        <w:t xml:space="preserve">[PROPUESTA] </w:t>
      </w:r>
      <w:r>
        <w:rPr>
          <w:sz w:val="21"/>
          <w:szCs w:val="21"/>
        </w:rPr>
        <w:t xml:space="preserve">Se propone desarrollar un modelo predictivo a nivel SKU–tienda que estime la probabilidad de que un producto se convierta en dead stock en un horizonte de 60–90 días, habilitando la intervención anticipada (liquidar, transferir o discontinuar) antes de que el capital quede inmovilizado. El modelo entregará un semáforo de riesgo y un ranking de los productos más urgentes por tienda, priorizando la detección temprana para convertir un proceso hoy reactivo y basado en la intuición en uno proactivo y basado en datos.</w:t>
      </w:r>
    </w:p>
    <w:p>
      <w:pPr>
        <w:pStyle w:val="Heading1"/>
        <w:shd w:fill="F2F2F2" w:color="auto" w:val="clear"/>
        <w:spacing w:after="160" w:before="320"/>
      </w:pPr>
      <w:r>
        <w:rPr>
          <w:b/>
          <w:bCs/>
          <w:color w:val="000000"/>
          <w:sz w:val="28"/>
          <w:szCs w:val="28"/>
        </w:rPr>
        <w:t xml:space="preserve">Sección 2 · Mapa de stakeholders</w:t>
      </w:r>
    </w:p>
    <w:p>
      <w:pPr>
        <w:spacing w:after="120" w:line="276"/>
        <w:jc w:val="both"/>
      </w:pPr>
      <w:r>
        <w:rPr>
          <w:i/>
          <w:iCs/>
          <w:color w:val="808080"/>
          <w:sz w:val="21"/>
          <w:szCs w:val="21"/>
        </w:rPr>
        <w:t xml:space="preserve">Se identifican los actores que impactan o son impactados por el proyecto, clasificados por nivel de interés e influencia, junto con su expectativa principal respecto del resultado.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900"/>
        <w:gridCol w:w="1000"/>
        <w:gridCol w:w="3500"/>
      </w:tblGrid>
      <w:tr>
        <w:trPr>
          <w:tblHeader/>
        </w:trPr>
        <w:tc>
          <w:tcPr>
            <w:tcW w:type="dxa" w:w="1500"/>
            <w:shd w:fill="1F3864" w:color="auto" w:val="clear"/>
            <w:tcMar>
              <w:top w:type="dxa" w:w="60"/>
              <w:left w:type="dxa" w:w="90"/>
              <w:bottom w:type="dxa" w:w="60"/>
              <w:right w:type="dxa" w:w="90"/>
            </w:tcMar>
          </w:tcPr>
          <w:p>
            <w:r>
              <w:rPr>
                <w:b/>
                <w:bCs/>
                <w:color w:val="FFFFFF"/>
                <w:sz w:val="18"/>
                <w:szCs w:val="18"/>
              </w:rPr>
              <w:t xml:space="preserve">Stakeholder</w:t>
            </w:r>
          </w:p>
        </w:tc>
        <w:tc>
          <w:tcPr>
            <w:tcW w:type="dxa" w:w="2100"/>
            <w:shd w:fill="1F3864" w:color="auto" w:val="clear"/>
            <w:tcMar>
              <w:top w:type="dxa" w:w="60"/>
              <w:left w:type="dxa" w:w="90"/>
              <w:bottom w:type="dxa" w:w="60"/>
              <w:right w:type="dxa" w:w="90"/>
            </w:tcMar>
          </w:tcPr>
          <w:p>
            <w:r>
              <w:rPr>
                <w:b/>
                <w:bCs/>
                <w:color w:val="FFFFFF"/>
                <w:sz w:val="18"/>
                <w:szCs w:val="18"/>
              </w:rPr>
              <w:t xml:space="preserve">Rol / Área</w:t>
            </w:r>
          </w:p>
        </w:tc>
        <w:tc>
          <w:tcPr>
            <w:tcW w:type="dxa" w:w="900"/>
            <w:shd w:fill="1F3864" w:color="auto" w:val="clear"/>
            <w:tcMar>
              <w:top w:type="dxa" w:w="60"/>
              <w:left w:type="dxa" w:w="90"/>
              <w:bottom w:type="dxa" w:w="60"/>
              <w:right w:type="dxa" w:w="90"/>
            </w:tcMar>
          </w:tcPr>
          <w:p>
            <w:r>
              <w:rPr>
                <w:b/>
                <w:bCs/>
                <w:color w:val="FFFFFF"/>
                <w:sz w:val="18"/>
                <w:szCs w:val="18"/>
              </w:rPr>
              <w:t xml:space="preserve">Interés</w:t>
            </w:r>
          </w:p>
        </w:tc>
        <w:tc>
          <w:tcPr>
            <w:tcW w:type="dxa" w:w="1000"/>
            <w:shd w:fill="1F3864" w:color="auto" w:val="clear"/>
            <w:tcMar>
              <w:top w:type="dxa" w:w="60"/>
              <w:left w:type="dxa" w:w="90"/>
              <w:bottom w:type="dxa" w:w="60"/>
              <w:right w:type="dxa" w:w="90"/>
            </w:tcMar>
          </w:tcPr>
          <w:p>
            <w:r>
              <w:rPr>
                <w:b/>
                <w:bCs/>
                <w:color w:val="FFFFFF"/>
                <w:sz w:val="18"/>
                <w:szCs w:val="18"/>
              </w:rPr>
              <w:t xml:space="preserve">Influencia</w:t>
            </w:r>
          </w:p>
        </w:tc>
        <w:tc>
          <w:tcPr>
            <w:tcW w:type="dxa" w:w="3500"/>
            <w:shd w:fill="1F3864" w:color="auto" w:val="clear"/>
            <w:tcMar>
              <w:top w:type="dxa" w:w="60"/>
              <w:left w:type="dxa" w:w="90"/>
              <w:bottom w:type="dxa" w:w="60"/>
              <w:right w:type="dxa" w:w="90"/>
            </w:tcMar>
          </w:tcPr>
          <w:p>
            <w:r>
              <w:rPr>
                <w:b/>
                <w:bCs/>
                <w:color w:val="FFFFFF"/>
                <w:sz w:val="18"/>
                <w:szCs w:val="18"/>
              </w:rPr>
              <w:t xml:space="preserve">Expectativa principal</w:t>
            </w:r>
          </w:p>
        </w:tc>
      </w:tr>
      <w:tr>
        <w:tc>
          <w:tcPr>
            <w:tcW w:type="dxa" w:w="1500"/>
            <w:tcMar>
              <w:top w:type="dxa" w:w="60"/>
              <w:left w:type="dxa" w:w="90"/>
              <w:bottom w:type="dxa" w:w="60"/>
              <w:right w:type="dxa" w:w="90"/>
            </w:tcMar>
          </w:tcPr>
          <w:p>
            <w:pPr>
              <w:spacing w:line="240"/>
            </w:pPr>
            <w:r>
              <w:rPr>
                <w:sz w:val="18"/>
                <w:szCs w:val="18"/>
              </w:rPr>
              <w:t xml:space="preserve">María G.</w:t>
            </w:r>
          </w:p>
        </w:tc>
        <w:tc>
          <w:tcPr>
            <w:tcW w:type="dxa" w:w="2100"/>
            <w:tcMar>
              <w:top w:type="dxa" w:w="60"/>
              <w:left w:type="dxa" w:w="90"/>
              <w:bottom w:type="dxa" w:w="60"/>
              <w:right w:type="dxa" w:w="90"/>
            </w:tcMar>
          </w:tcPr>
          <w:p>
            <w:pPr>
              <w:spacing w:line="240"/>
            </w:pPr>
            <w:r>
              <w:rPr>
                <w:sz w:val="18"/>
                <w:szCs w:val="18"/>
              </w:rPr>
              <w:t xml:space="preserve">Dirección Comercial (Sponsor / Co-decisor)</w:t>
            </w:r>
          </w:p>
        </w:tc>
        <w:tc>
          <w:tcPr>
            <w:tcW w:type="dxa" w:w="900"/>
            <w:tcMar>
              <w:top w:type="dxa" w:w="60"/>
              <w:left w:type="dxa" w:w="90"/>
              <w:bottom w:type="dxa" w:w="60"/>
              <w:right w:type="dxa" w:w="90"/>
            </w:tcMar>
          </w:tcPr>
          <w:p>
            <w:pPr>
              <w:spacing w:line="240"/>
            </w:pPr>
            <w:r>
              <w:rPr>
                <w:sz w:val="18"/>
                <w:szCs w:val="18"/>
              </w:rPr>
              <w:t xml:space="preserve">Alto</w:t>
            </w:r>
          </w:p>
        </w:tc>
        <w:tc>
          <w:tcPr>
            <w:tcW w:type="dxa" w:w="1000"/>
            <w:tcMar>
              <w:top w:type="dxa" w:w="60"/>
              <w:left w:type="dxa" w:w="90"/>
              <w:bottom w:type="dxa" w:w="60"/>
              <w:right w:type="dxa" w:w="90"/>
            </w:tcMar>
          </w:tcPr>
          <w:p>
            <w:pPr>
              <w:spacing w:line="240"/>
            </w:pPr>
            <w:r>
              <w:rPr>
                <w:sz w:val="18"/>
                <w:szCs w:val="18"/>
              </w:rPr>
              <w:t xml:space="preserve">Alto</w:t>
            </w:r>
          </w:p>
        </w:tc>
        <w:tc>
          <w:tcPr>
            <w:tcW w:type="dxa" w:w="3500"/>
            <w:tcMar>
              <w:top w:type="dxa" w:w="60"/>
              <w:left w:type="dxa" w:w="90"/>
              <w:bottom w:type="dxa" w:w="60"/>
              <w:right w:type="dxa" w:w="90"/>
            </w:tcMar>
          </w:tcPr>
          <w:p>
            <w:pPr>
              <w:spacing w:line="240"/>
            </w:pPr>
            <w:r>
              <w:rPr>
                <w:sz w:val="18"/>
                <w:szCs w:val="18"/>
              </w:rPr>
              <w:t xml:space="preserve">Impulsora del proyecto y decisora final. Espera una herramienta accionable que priorice decisiones de liquidación/discontinuación, identifique categorías con excesiva variedad y baja contribución y optimice el mix por tienda. Aprueba formalmente la definición de dead stock.</w:t>
            </w:r>
          </w:p>
        </w:tc>
      </w:tr>
      <w:tr>
        <w:tc>
          <w:tcPr>
            <w:tcW w:type="dxa" w:w="1500"/>
            <w:shd w:fill="F2F2F2" w:color="auto" w:val="clear"/>
            <w:tcMar>
              <w:top w:type="dxa" w:w="60"/>
              <w:left w:type="dxa" w:w="90"/>
              <w:bottom w:type="dxa" w:w="60"/>
              <w:right w:type="dxa" w:w="90"/>
            </w:tcMar>
          </w:tcPr>
          <w:p>
            <w:pPr>
              <w:spacing w:line="240"/>
            </w:pPr>
            <w:r>
              <w:rPr>
                <w:sz w:val="18"/>
                <w:szCs w:val="18"/>
              </w:rPr>
              <w:t xml:space="preserve">Diego P.</w:t>
            </w:r>
          </w:p>
        </w:tc>
        <w:tc>
          <w:tcPr>
            <w:tcW w:type="dxa" w:w="2100"/>
            <w:shd w:fill="F2F2F2" w:color="auto" w:val="clear"/>
            <w:tcMar>
              <w:top w:type="dxa" w:w="60"/>
              <w:left w:type="dxa" w:w="90"/>
              <w:bottom w:type="dxa" w:w="60"/>
              <w:right w:type="dxa" w:w="90"/>
            </w:tcMar>
          </w:tcPr>
          <w:p>
            <w:pPr>
              <w:spacing w:line="240"/>
            </w:pPr>
            <w:r>
              <w:rPr>
                <w:sz w:val="18"/>
                <w:szCs w:val="18"/>
              </w:rPr>
              <w:t xml:space="preserve">Gerencia de Compras y Categorías (Co-decisor)</w:t>
            </w:r>
          </w:p>
        </w:tc>
        <w:tc>
          <w:tcPr>
            <w:tcW w:type="dxa" w:w="900"/>
            <w:shd w:fill="F2F2F2" w:color="auto" w:val="clear"/>
            <w:tcMar>
              <w:top w:type="dxa" w:w="60"/>
              <w:left w:type="dxa" w:w="90"/>
              <w:bottom w:type="dxa" w:w="60"/>
              <w:right w:type="dxa" w:w="90"/>
            </w:tcMar>
          </w:tcPr>
          <w:p>
            <w:pPr>
              <w:spacing w:line="240"/>
            </w:pPr>
            <w:r>
              <w:rPr>
                <w:sz w:val="18"/>
                <w:szCs w:val="18"/>
              </w:rPr>
              <w:t xml:space="preserve">Medio</w:t>
            </w:r>
          </w:p>
        </w:tc>
        <w:tc>
          <w:tcPr>
            <w:tcW w:type="dxa" w:w="1000"/>
            <w:shd w:fill="F2F2F2" w:color="auto" w:val="clear"/>
            <w:tcMar>
              <w:top w:type="dxa" w:w="60"/>
              <w:left w:type="dxa" w:w="90"/>
              <w:bottom w:type="dxa" w:w="60"/>
              <w:right w:type="dxa" w:w="90"/>
            </w:tcMar>
          </w:tcPr>
          <w:p>
            <w:pPr>
              <w:spacing w:line="240"/>
            </w:pPr>
            <w:r>
              <w:rPr>
                <w:sz w:val="18"/>
                <w:szCs w:val="18"/>
              </w:rPr>
              <w:t xml:space="preserve">Medio</w:t>
            </w:r>
          </w:p>
        </w:tc>
        <w:tc>
          <w:tcPr>
            <w:tcW w:type="dxa" w:w="3500"/>
            <w:shd w:fill="F2F2F2" w:color="auto" w:val="clear"/>
            <w:tcMar>
              <w:top w:type="dxa" w:w="60"/>
              <w:left w:type="dxa" w:w="90"/>
              <w:bottom w:type="dxa" w:w="60"/>
              <w:right w:type="dxa" w:w="90"/>
            </w:tcMar>
          </w:tcPr>
          <w:p>
            <w:pPr>
              <w:spacing w:line="240"/>
            </w:pPr>
            <w:r>
              <w:rPr>
                <w:sz w:val="18"/>
                <w:szCs w:val="18"/>
              </w:rPr>
              <w:t xml:space="preserve">Anticipar qué productos nuevos tienen mayor riesgo de baja rotación, ajustar cantidades de compra según el riesgo estimado y evaluar el desempeño de proveedores. Co-decide discontinuaciones con implicancia de proveedor.</w:t>
            </w:r>
          </w:p>
        </w:tc>
      </w:tr>
      <w:tr>
        <w:tc>
          <w:tcPr>
            <w:tcW w:type="dxa" w:w="1500"/>
            <w:tcMar>
              <w:top w:type="dxa" w:w="60"/>
              <w:left w:type="dxa" w:w="90"/>
              <w:bottom w:type="dxa" w:w="60"/>
              <w:right w:type="dxa" w:w="90"/>
            </w:tcMar>
          </w:tcPr>
          <w:p>
            <w:pPr>
              <w:spacing w:line="240"/>
            </w:pPr>
            <w:r>
              <w:rPr>
                <w:sz w:val="18"/>
                <w:szCs w:val="18"/>
              </w:rPr>
              <w:t xml:space="preserve">Carlos F.</w:t>
            </w:r>
          </w:p>
        </w:tc>
        <w:tc>
          <w:tcPr>
            <w:tcW w:type="dxa" w:w="2100"/>
            <w:tcMar>
              <w:top w:type="dxa" w:w="60"/>
              <w:left w:type="dxa" w:w="90"/>
              <w:bottom w:type="dxa" w:w="60"/>
              <w:right w:type="dxa" w:w="90"/>
            </w:tcMar>
          </w:tcPr>
          <w:p>
            <w:pPr>
              <w:spacing w:line="240"/>
            </w:pPr>
            <w:r>
              <w:rPr>
                <w:sz w:val="18"/>
                <w:szCs w:val="18"/>
              </w:rPr>
              <w:t xml:space="preserve">Dirección Financiera (Co-decisor)</w:t>
            </w:r>
          </w:p>
        </w:tc>
        <w:tc>
          <w:tcPr>
            <w:tcW w:type="dxa" w:w="900"/>
            <w:tcMar>
              <w:top w:type="dxa" w:w="60"/>
              <w:left w:type="dxa" w:w="90"/>
              <w:bottom w:type="dxa" w:w="60"/>
              <w:right w:type="dxa" w:w="90"/>
            </w:tcMar>
          </w:tcPr>
          <w:p>
            <w:pPr>
              <w:spacing w:line="240"/>
            </w:pPr>
            <w:r>
              <w:rPr>
                <w:sz w:val="18"/>
                <w:szCs w:val="18"/>
              </w:rPr>
              <w:t xml:space="preserve">Alto</w:t>
            </w:r>
          </w:p>
        </w:tc>
        <w:tc>
          <w:tcPr>
            <w:tcW w:type="dxa" w:w="1000"/>
            <w:tcMar>
              <w:top w:type="dxa" w:w="60"/>
              <w:left w:type="dxa" w:w="90"/>
              <w:bottom w:type="dxa" w:w="60"/>
              <w:right w:type="dxa" w:w="90"/>
            </w:tcMar>
          </w:tcPr>
          <w:p>
            <w:pPr>
              <w:spacing w:line="240"/>
            </w:pPr>
            <w:r>
              <w:rPr>
                <w:sz w:val="18"/>
                <w:szCs w:val="18"/>
              </w:rPr>
              <w:t xml:space="preserve">Alto</w:t>
            </w:r>
          </w:p>
        </w:tc>
        <w:tc>
          <w:tcPr>
            <w:tcW w:type="dxa" w:w="3500"/>
            <w:tcMar>
              <w:top w:type="dxa" w:w="60"/>
              <w:left w:type="dxa" w:w="90"/>
              <w:bottom w:type="dxa" w:w="60"/>
              <w:right w:type="dxa" w:w="90"/>
            </w:tcMar>
          </w:tcPr>
          <w:p>
            <w:pPr>
              <w:spacing w:line="240"/>
            </w:pPr>
            <w:r>
              <w:rPr>
                <w:sz w:val="18"/>
                <w:szCs w:val="18"/>
              </w:rPr>
              <w:t xml:space="preserve">Cuantificar el capital en riesgo y el ahorro por liquidación anticipada, y evaluar el impacto agregado en el capital de trabajo. Da el visto bueno al criterio de umbral de stock/cobertura y valida los supuestos de costo.</w:t>
            </w:r>
          </w:p>
        </w:tc>
      </w:tr>
      <w:tr>
        <w:tc>
          <w:tcPr>
            <w:tcW w:type="dxa" w:w="1500"/>
            <w:shd w:fill="F2F2F2" w:color="auto" w:val="clear"/>
            <w:tcMar>
              <w:top w:type="dxa" w:w="60"/>
              <w:left w:type="dxa" w:w="90"/>
              <w:bottom w:type="dxa" w:w="60"/>
              <w:right w:type="dxa" w:w="90"/>
            </w:tcMar>
          </w:tcPr>
          <w:p>
            <w:pPr>
              <w:spacing w:line="240"/>
            </w:pPr>
            <w:r>
              <w:rPr>
                <w:sz w:val="18"/>
                <w:szCs w:val="18"/>
              </w:rPr>
              <w:t xml:space="preserve">Lucía O.</w:t>
            </w:r>
          </w:p>
        </w:tc>
        <w:tc>
          <w:tcPr>
            <w:tcW w:type="dxa" w:w="2100"/>
            <w:shd w:fill="F2F2F2" w:color="auto" w:val="clear"/>
            <w:tcMar>
              <w:top w:type="dxa" w:w="60"/>
              <w:left w:type="dxa" w:w="90"/>
              <w:bottom w:type="dxa" w:w="60"/>
              <w:right w:type="dxa" w:w="90"/>
            </w:tcMar>
          </w:tcPr>
          <w:p>
            <w:pPr>
              <w:spacing w:line="240"/>
            </w:pPr>
            <w:r>
              <w:rPr>
                <w:sz w:val="18"/>
                <w:szCs w:val="18"/>
              </w:rPr>
              <w:t xml:space="preserve">Gerencia de Operaciones (Influenciador clave)</w:t>
            </w:r>
          </w:p>
        </w:tc>
        <w:tc>
          <w:tcPr>
            <w:tcW w:type="dxa" w:w="900"/>
            <w:shd w:fill="F2F2F2" w:color="auto" w:val="clear"/>
            <w:tcMar>
              <w:top w:type="dxa" w:w="60"/>
              <w:left w:type="dxa" w:w="90"/>
              <w:bottom w:type="dxa" w:w="60"/>
              <w:right w:type="dxa" w:w="90"/>
            </w:tcMar>
          </w:tcPr>
          <w:p>
            <w:pPr>
              <w:spacing w:line="240"/>
            </w:pPr>
            <w:r>
              <w:rPr>
                <w:sz w:val="18"/>
                <w:szCs w:val="18"/>
              </w:rPr>
              <w:t xml:space="preserve">Medio</w:t>
            </w:r>
          </w:p>
        </w:tc>
        <w:tc>
          <w:tcPr>
            <w:tcW w:type="dxa" w:w="1000"/>
            <w:shd w:fill="F2F2F2" w:color="auto" w:val="clear"/>
            <w:tcMar>
              <w:top w:type="dxa" w:w="60"/>
              <w:left w:type="dxa" w:w="90"/>
              <w:bottom w:type="dxa" w:w="60"/>
              <w:right w:type="dxa" w:w="90"/>
            </w:tcMar>
          </w:tcPr>
          <w:p>
            <w:pPr>
              <w:spacing w:line="240"/>
            </w:pPr>
            <w:r>
              <w:rPr>
                <w:sz w:val="18"/>
                <w:szCs w:val="18"/>
              </w:rPr>
              <w:t xml:space="preserve">Bajo</w:t>
            </w:r>
          </w:p>
        </w:tc>
        <w:tc>
          <w:tcPr>
            <w:tcW w:type="dxa" w:w="3500"/>
            <w:shd w:fill="F2F2F2" w:color="auto" w:val="clear"/>
            <w:tcMar>
              <w:top w:type="dxa" w:w="60"/>
              <w:left w:type="dxa" w:w="90"/>
              <w:bottom w:type="dxa" w:w="60"/>
              <w:right w:type="dxa" w:w="90"/>
            </w:tcMar>
          </w:tcPr>
          <w:p>
            <w:pPr>
              <w:spacing w:line="240"/>
            </w:pPr>
            <w:r>
              <w:rPr>
                <w:sz w:val="18"/>
                <w:szCs w:val="18"/>
              </w:rPr>
              <w:t xml:space="preserve">Priorizar qué tiendas liberar de stock de baja rotación y planificar movimientos de mercadería hacia tiendas con mejor rotación esperada. Posible punto de contacto técnico para extracciones de datos.</w:t>
            </w:r>
          </w:p>
        </w:tc>
      </w:tr>
      <w:tr>
        <w:tc>
          <w:tcPr>
            <w:tcW w:type="dxa" w:w="1500"/>
            <w:tcMar>
              <w:top w:type="dxa" w:w="60"/>
              <w:left w:type="dxa" w:w="90"/>
              <w:bottom w:type="dxa" w:w="60"/>
              <w:right w:type="dxa" w:w="90"/>
            </w:tcMar>
          </w:tcPr>
          <w:p>
            <w:pPr>
              <w:spacing w:line="240"/>
            </w:pPr>
            <w:r>
              <w:rPr>
                <w:sz w:val="18"/>
                <w:szCs w:val="18"/>
              </w:rPr>
              <w:t xml:space="preserve">Responsables de Tienda (RT01, RT02…)</w:t>
            </w:r>
          </w:p>
        </w:tc>
        <w:tc>
          <w:tcPr>
            <w:tcW w:type="dxa" w:w="2100"/>
            <w:tcMar>
              <w:top w:type="dxa" w:w="60"/>
              <w:left w:type="dxa" w:w="90"/>
              <w:bottom w:type="dxa" w:w="60"/>
              <w:right w:type="dxa" w:w="90"/>
            </w:tcMar>
          </w:tcPr>
          <w:p>
            <w:pPr>
              <w:spacing w:line="240"/>
            </w:pPr>
            <w:r>
              <w:rPr>
                <w:sz w:val="18"/>
                <w:szCs w:val="18"/>
              </w:rPr>
              <w:t xml:space="preserve">Operativo / Usuarios finales</w:t>
            </w:r>
          </w:p>
        </w:tc>
        <w:tc>
          <w:tcPr>
            <w:tcW w:type="dxa" w:w="900"/>
            <w:tcMar>
              <w:top w:type="dxa" w:w="60"/>
              <w:left w:type="dxa" w:w="90"/>
              <w:bottom w:type="dxa" w:w="60"/>
              <w:right w:type="dxa" w:w="90"/>
            </w:tcMar>
          </w:tcPr>
          <w:p>
            <w:pPr>
              <w:spacing w:line="240"/>
            </w:pPr>
            <w:r>
              <w:rPr>
                <w:sz w:val="18"/>
                <w:szCs w:val="18"/>
              </w:rPr>
              <w:t xml:space="preserve">Medio</w:t>
            </w:r>
          </w:p>
        </w:tc>
        <w:tc>
          <w:tcPr>
            <w:tcW w:type="dxa" w:w="1000"/>
            <w:tcMar>
              <w:top w:type="dxa" w:w="60"/>
              <w:left w:type="dxa" w:w="90"/>
              <w:bottom w:type="dxa" w:w="60"/>
              <w:right w:type="dxa" w:w="90"/>
            </w:tcMar>
          </w:tcPr>
          <w:p>
            <w:pPr>
              <w:spacing w:line="240"/>
            </w:pPr>
            <w:r>
              <w:rPr>
                <w:sz w:val="18"/>
                <w:szCs w:val="18"/>
              </w:rPr>
              <w:t xml:space="preserve">Bajo</w:t>
            </w:r>
          </w:p>
        </w:tc>
        <w:tc>
          <w:tcPr>
            <w:tcW w:type="dxa" w:w="3500"/>
            <w:tcMar>
              <w:top w:type="dxa" w:w="60"/>
              <w:left w:type="dxa" w:w="90"/>
              <w:bottom w:type="dxa" w:w="60"/>
              <w:right w:type="dxa" w:w="90"/>
            </w:tcMar>
          </w:tcPr>
          <w:p>
            <w:pPr>
              <w:spacing w:line="240"/>
            </w:pPr>
            <w:r>
              <w:rPr>
                <w:sz w:val="18"/>
                <w:szCs w:val="18"/>
              </w:rPr>
              <w:t xml:space="preserve">Reciben y ejecutan el output (liquidar, reacomodar góndola). Se benefician indirectamente: liberación de espacio y menor gestión de stock sin movimiento. Capacidad operativa de 15–25 intervenciones por mes.</w:t>
            </w:r>
          </w:p>
        </w:tc>
      </w:tr>
    </w:tbl>
    <w:p>
      <w:pPr>
        <w:pStyle w:val="Heading1"/>
        <w:shd w:fill="F2F2F2" w:color="auto" w:val="clear"/>
        <w:spacing w:after="160" w:before="320"/>
      </w:pPr>
      <w:r>
        <w:rPr>
          <w:b/>
          <w:bCs/>
          <w:color w:val="000000"/>
          <w:sz w:val="28"/>
          <w:szCs w:val="28"/>
        </w:rPr>
        <w:t xml:space="preserve">Sección 3 · Restricciones identificadas</w:t>
      </w:r>
    </w:p>
    <w:p>
      <w:pPr>
        <w:spacing w:after="120" w:line="276"/>
        <w:jc w:val="both"/>
      </w:pPr>
      <w:r>
        <w:rPr>
          <w:i/>
          <w:iCs/>
          <w:color w:val="808080"/>
          <w:sz w:val="21"/>
          <w:szCs w:val="21"/>
        </w:rPr>
        <w:t xml:space="preserve">Restricciones conocidas que condicionan el alcance, el enfoque técnico y la ejecución del proyecto.</w:t>
      </w:r>
    </w:p>
    <w:p>
      <w:pPr>
        <w:pStyle w:val="Heading2"/>
        <w:spacing w:after="100" w:before="240"/>
      </w:pPr>
      <w:r>
        <w:rPr>
          <w:b/>
          <w:bCs/>
          <w:color w:val="C0504D"/>
          <w:sz w:val="22"/>
          <w:szCs w:val="22"/>
        </w:rPr>
        <w:t xml:space="preserve">3.1 Restricciones tecnológicas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00"/>
      </w:tblGrid>
      <w:tr>
        <w:trPr>
          <w:tblHeader/>
        </w:trPr>
        <w:tc>
          <w:tcPr>
            <w:tcW w:type="dxa" w:w="3000"/>
            <w:shd w:fill="F2F2F2" w:color="auto" w:val="clear"/>
            <w:tcMar>
              <w:top w:type="dxa" w:w="50"/>
              <w:left w:type="dxa" w:w="90"/>
              <w:bottom w:type="dxa" w:w="50"/>
              <w:right w:type="dxa" w:w="90"/>
            </w:tcMar>
          </w:tcPr>
          <w:p>
            <w:r>
              <w:rPr>
                <w:b/>
                <w:bCs/>
                <w:sz w:val="19"/>
                <w:szCs w:val="19"/>
              </w:rPr>
              <w:t xml:space="preserve">Restricción</w:t>
            </w:r>
          </w:p>
        </w:tc>
        <w:tc>
          <w:tcPr>
            <w:tcW w:type="dxa" w:w="3500"/>
            <w:shd w:fill="F2F2F2" w:color="auto" w:val="clear"/>
            <w:tcMar>
              <w:top w:type="dxa" w:w="50"/>
              <w:left w:type="dxa" w:w="90"/>
              <w:bottom w:type="dxa" w:w="50"/>
              <w:right w:type="dxa" w:w="90"/>
            </w:tcMar>
          </w:tcPr>
          <w:p>
            <w:r>
              <w:rPr>
                <w:b/>
                <w:bCs/>
                <w:sz w:val="19"/>
                <w:szCs w:val="19"/>
              </w:rPr>
              <w:t xml:space="preserve">Descripción / Detalle</w:t>
            </w:r>
          </w:p>
        </w:tc>
        <w:tc>
          <w:tcPr>
            <w:tcW w:type="dxa" w:w="2500"/>
            <w:shd w:fill="F2F2F2" w:color="auto" w:val="clear"/>
            <w:tcMar>
              <w:top w:type="dxa" w:w="50"/>
              <w:left w:type="dxa" w:w="90"/>
              <w:bottom w:type="dxa" w:w="50"/>
              <w:right w:type="dxa" w:w="90"/>
            </w:tcMar>
          </w:tcPr>
          <w:p>
            <w:r>
              <w:rPr>
                <w:b/>
                <w:bCs/>
                <w:sz w:val="19"/>
                <w:szCs w:val="19"/>
              </w:rPr>
              <w:t xml:space="preserve">Impacto en el proyecto</w:t>
            </w:r>
          </w:p>
        </w:tc>
      </w:tr>
      <w:tr>
        <w:tc>
          <w:tcPr>
            <w:tcW w:type="dxa" w:w="3000"/>
            <w:tcMar>
              <w:top w:type="dxa" w:w="50"/>
              <w:left w:type="dxa" w:w="90"/>
              <w:bottom w:type="dxa" w:w="50"/>
              <w:right w:type="dxa" w:w="90"/>
            </w:tcMar>
          </w:tcPr>
          <w:p>
            <w:pPr>
              <w:spacing w:line="240"/>
            </w:pPr>
            <w:r>
              <w:rPr>
                <w:sz w:val="18"/>
                <w:szCs w:val="18"/>
              </w:rPr>
              <w:t xml:space="preserve">Ausencia de área de datos / IT interna</w:t>
            </w:r>
          </w:p>
        </w:tc>
        <w:tc>
          <w:tcPr>
            <w:tcW w:type="dxa" w:w="3500"/>
            <w:tcMar>
              <w:top w:type="dxa" w:w="50"/>
              <w:left w:type="dxa" w:w="90"/>
              <w:bottom w:type="dxa" w:w="50"/>
              <w:right w:type="dxa" w:w="90"/>
            </w:tcMar>
          </w:tcPr>
          <w:p>
            <w:pPr>
              <w:spacing w:line="240"/>
            </w:pPr>
            <w:r>
              <w:rPr>
                <w:sz w:val="18"/>
                <w:szCs w:val="18"/>
              </w:rPr>
              <w:t xml:space="preserve">Los sistemas (POS, e-commerce SaaS, promociones, inventario, contable) fueron implementados por proveedores externos en momentos distintos y funcionan como silos, sin coordinación central.</w:t>
            </w:r>
          </w:p>
        </w:tc>
        <w:tc>
          <w:tcPr>
            <w:tcW w:type="dxa" w:w="2500"/>
            <w:tcMar>
              <w:top w:type="dxa" w:w="50"/>
              <w:left w:type="dxa" w:w="90"/>
              <w:bottom w:type="dxa" w:w="50"/>
              <w:right w:type="dxa" w:w="90"/>
            </w:tcMar>
          </w:tcPr>
          <w:p>
            <w:pPr>
              <w:spacing w:line="240"/>
            </w:pPr>
            <w:r>
              <w:rPr>
                <w:sz w:val="18"/>
                <w:szCs w:val="18"/>
              </w:rPr>
              <w:t xml:space="preserve">Mayor esfuerzo de consolidación y dependencia de terceros; se requiere designar un referente técnico para extracciones y definiciones.</w:t>
            </w:r>
          </w:p>
        </w:tc>
      </w:tr>
      <w:tr>
        <w:tc>
          <w:tcPr>
            <w:tcW w:type="dxa" w:w="3000"/>
            <w:shd w:fill="F2F2F2" w:color="auto" w:val="clear"/>
            <w:tcMar>
              <w:top w:type="dxa" w:w="50"/>
              <w:left w:type="dxa" w:w="90"/>
              <w:bottom w:type="dxa" w:w="50"/>
              <w:right w:type="dxa" w:w="90"/>
            </w:tcMar>
          </w:tcPr>
          <w:p>
            <w:pPr>
              <w:spacing w:line="240"/>
            </w:pPr>
            <w:r>
              <w:rPr>
                <w:sz w:val="18"/>
                <w:szCs w:val="18"/>
              </w:rPr>
              <w:t xml:space="preserve">Sin data warehouse ni integración entre sistemas</w:t>
            </w:r>
          </w:p>
        </w:tc>
        <w:tc>
          <w:tcPr>
            <w:tcW w:type="dxa" w:w="3500"/>
            <w:shd w:fill="F2F2F2" w:color="auto" w:val="clear"/>
            <w:tcMar>
              <w:top w:type="dxa" w:w="50"/>
              <w:left w:type="dxa" w:w="90"/>
              <w:bottom w:type="dxa" w:w="50"/>
              <w:right w:type="dxa" w:w="90"/>
            </w:tcMar>
          </w:tcPr>
          <w:p>
            <w:pPr>
              <w:spacing w:line="240"/>
            </w:pPr>
            <w:r>
              <w:rPr>
                <w:sz w:val="18"/>
                <w:szCs w:val="18"/>
              </w:rPr>
              <w:t xml:space="preserve">La información se consolida hoy de forma manual en planillas de Excel; no existe un repositorio único.</w:t>
            </w:r>
          </w:p>
        </w:tc>
        <w:tc>
          <w:tcPr>
            <w:tcW w:type="dxa" w:w="2500"/>
            <w:shd w:fill="F2F2F2" w:color="auto" w:val="clear"/>
            <w:tcMar>
              <w:top w:type="dxa" w:w="50"/>
              <w:left w:type="dxa" w:w="90"/>
              <w:bottom w:type="dxa" w:w="50"/>
              <w:right w:type="dxa" w:w="90"/>
            </w:tcMar>
          </w:tcPr>
          <w:p>
            <w:pPr>
              <w:spacing w:line="240"/>
            </w:pPr>
            <w:r>
              <w:rPr>
                <w:sz w:val="18"/>
                <w:szCs w:val="18"/>
              </w:rPr>
              <w:t xml:space="preserve">Es necesario construir un pipeline propio de integración a nivel SKU–tienda–mes.</w:t>
            </w:r>
          </w:p>
        </w:tc>
      </w:tr>
      <w:tr>
        <w:tc>
          <w:tcPr>
            <w:tcW w:type="dxa" w:w="3000"/>
            <w:tcMar>
              <w:top w:type="dxa" w:w="50"/>
              <w:left w:type="dxa" w:w="90"/>
              <w:bottom w:type="dxa" w:w="50"/>
              <w:right w:type="dxa" w:w="90"/>
            </w:tcMar>
          </w:tcPr>
          <w:p>
            <w:pPr>
              <w:spacing w:line="240"/>
            </w:pPr>
            <w:r>
              <w:rPr>
                <w:sz w:val="18"/>
                <w:szCs w:val="18"/>
              </w:rPr>
              <w:t xml:space="preserve">Calidad y gobierno de datos deficiente</w:t>
            </w:r>
          </w:p>
        </w:tc>
        <w:tc>
          <w:tcPr>
            <w:tcW w:type="dxa" w:w="3500"/>
            <w:tcMar>
              <w:top w:type="dxa" w:w="50"/>
              <w:left w:type="dxa" w:w="90"/>
              <w:bottom w:type="dxa" w:w="50"/>
              <w:right w:type="dxa" w:w="90"/>
            </w:tcMar>
          </w:tcPr>
          <w:p>
            <w:pPr>
              <w:spacing w:line="240"/>
            </w:pPr>
            <w:r>
              <w:rPr>
                <w:sz w:val="18"/>
                <w:szCs w:val="18"/>
              </w:rPr>
              <w:t xml:space="preserve">Duplicados (~2.378 combinaciones), montos negativos por devoluciones, categorías inconsistentes, 15 SKUs duplicados y faltantes en el histórico; no hay dueño formal del dato maestro.</w:t>
            </w:r>
          </w:p>
        </w:tc>
        <w:tc>
          <w:tcPr>
            <w:tcW w:type="dxa" w:w="2500"/>
            <w:tcMar>
              <w:top w:type="dxa" w:w="50"/>
              <w:left w:type="dxa" w:w="90"/>
              <w:bottom w:type="dxa" w:w="50"/>
              <w:right w:type="dxa" w:w="90"/>
            </w:tcMar>
          </w:tcPr>
          <w:p>
            <w:pPr>
              <w:spacing w:line="240"/>
            </w:pPr>
            <w:r>
              <w:rPr>
                <w:sz w:val="18"/>
                <w:szCs w:val="18"/>
              </w:rPr>
              <w:t xml:space="preserve">Fase significativa de limpieza y validación previa al modelado; riesgo de sesgos si no se resuelve con el negocio.</w:t>
            </w:r>
          </w:p>
        </w:tc>
      </w:tr>
      <w:tr>
        <w:tc>
          <w:tcPr>
            <w:tcW w:type="dxa" w:w="3000"/>
            <w:shd w:fill="F2F2F2" w:color="auto" w:val="clear"/>
            <w:tcMar>
              <w:top w:type="dxa" w:w="50"/>
              <w:left w:type="dxa" w:w="90"/>
              <w:bottom w:type="dxa" w:w="50"/>
              <w:right w:type="dxa" w:w="90"/>
            </w:tcMar>
          </w:tcPr>
          <w:p>
            <w:pPr>
              <w:spacing w:line="240"/>
            </w:pPr>
            <w:r>
              <w:rPr>
                <w:sz w:val="18"/>
                <w:szCs w:val="18"/>
              </w:rPr>
              <w:t xml:space="preserve">Alcance de datos acotado</w:t>
            </w:r>
          </w:p>
        </w:tc>
        <w:tc>
          <w:tcPr>
            <w:tcW w:type="dxa" w:w="3500"/>
            <w:shd w:fill="F2F2F2" w:color="auto" w:val="clear"/>
            <w:tcMar>
              <w:top w:type="dxa" w:w="50"/>
              <w:left w:type="dxa" w:w="90"/>
              <w:bottom w:type="dxa" w:w="50"/>
              <w:right w:type="dxa" w:w="90"/>
            </w:tcMar>
          </w:tcPr>
          <w:p>
            <w:pPr>
              <w:spacing w:line="240"/>
            </w:pPr>
            <w:r>
              <w:rPr>
                <w:sz w:val="18"/>
                <w:szCs w:val="18"/>
              </w:rPr>
              <w:t xml:space="preserve">Los datasets cubren solo las 28 tiendas físicas. El e-commerce queda fuera (fase 2) y los movimientos de mercadería entre tiendas/depósito no están incluidos.</w:t>
            </w:r>
          </w:p>
        </w:tc>
        <w:tc>
          <w:tcPr>
            <w:tcW w:type="dxa" w:w="2500"/>
            <w:shd w:fill="F2F2F2" w:color="auto" w:val="clear"/>
            <w:tcMar>
              <w:top w:type="dxa" w:w="50"/>
              <w:left w:type="dxa" w:w="90"/>
              <w:bottom w:type="dxa" w:w="50"/>
              <w:right w:type="dxa" w:w="90"/>
            </w:tcMar>
          </w:tcPr>
          <w:p>
            <w:pPr>
              <w:spacing w:line="240"/>
            </w:pPr>
            <w:r>
              <w:rPr>
                <w:sz w:val="18"/>
                <w:szCs w:val="18"/>
              </w:rPr>
              <w:t xml:space="preserve">No se distingue "no se vendió" de "se transfirió"; limita ciertas variables predictivas.</w:t>
            </w:r>
          </w:p>
        </w:tc>
      </w:tr>
      <w:tr>
        <w:tc>
          <w:tcPr>
            <w:tcW w:type="dxa" w:w="3000"/>
            <w:tcMar>
              <w:top w:type="dxa" w:w="50"/>
              <w:left w:type="dxa" w:w="90"/>
              <w:bottom w:type="dxa" w:w="50"/>
              <w:right w:type="dxa" w:w="90"/>
            </w:tcMar>
          </w:tcPr>
          <w:p>
            <w:pPr>
              <w:spacing w:line="240"/>
            </w:pPr>
            <w:r>
              <w:rPr>
                <w:sz w:val="18"/>
                <w:szCs w:val="18"/>
              </w:rPr>
              <w:t xml:space="preserve">Solución liviana y open source</w:t>
            </w:r>
          </w:p>
        </w:tc>
        <w:tc>
          <w:tcPr>
            <w:tcW w:type="dxa" w:w="3500"/>
            <w:tcMar>
              <w:top w:type="dxa" w:w="50"/>
              <w:left w:type="dxa" w:w="90"/>
              <w:bottom w:type="dxa" w:w="50"/>
              <w:right w:type="dxa" w:w="90"/>
            </w:tcMar>
          </w:tcPr>
          <w:p>
            <w:pPr>
              <w:spacing w:line="240"/>
            </w:pPr>
            <w:r>
              <w:rPr>
                <w:sz w:val="18"/>
                <w:szCs w:val="18"/>
              </w:rPr>
              <w:t xml:space="preserve">Preferencia del negocio por herramientas open source y soluciones escalables gradualmente, sin grandes inversiones de infraestructura.</w:t>
            </w:r>
          </w:p>
        </w:tc>
        <w:tc>
          <w:tcPr>
            <w:tcW w:type="dxa" w:w="2500"/>
            <w:tcMar>
              <w:top w:type="dxa" w:w="50"/>
              <w:left w:type="dxa" w:w="90"/>
              <w:bottom w:type="dxa" w:w="50"/>
              <w:right w:type="dxa" w:w="90"/>
            </w:tcMar>
          </w:tcPr>
          <w:p>
            <w:pPr>
              <w:spacing w:line="240"/>
            </w:pPr>
            <w:r>
              <w:rPr>
                <w:sz w:val="18"/>
                <w:szCs w:val="18"/>
              </w:rPr>
              <w:t xml:space="preserve">Condiciona la arquitectura; el uso de cloud pago debe justificarse dentro del presupuesto.</w:t>
            </w:r>
          </w:p>
        </w:tc>
      </w:tr>
    </w:tbl>
    <w:p>
      <w:pPr>
        <w:pStyle w:val="Heading2"/>
        <w:spacing w:after="100" w:before="240"/>
      </w:pPr>
      <w:r>
        <w:rPr>
          <w:b/>
          <w:bCs/>
          <w:color w:val="C0504D"/>
          <w:sz w:val="22"/>
          <w:szCs w:val="22"/>
        </w:rPr>
        <w:t xml:space="preserve">3.2 Restricciones temporales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00"/>
      </w:tblGrid>
      <w:tr>
        <w:trPr>
          <w:tblHeader/>
        </w:trPr>
        <w:tc>
          <w:tcPr>
            <w:tcW w:type="dxa" w:w="3000"/>
            <w:shd w:fill="F2F2F2" w:color="auto" w:val="clear"/>
            <w:tcMar>
              <w:top w:type="dxa" w:w="50"/>
              <w:left w:type="dxa" w:w="90"/>
              <w:bottom w:type="dxa" w:w="50"/>
              <w:right w:type="dxa" w:w="90"/>
            </w:tcMar>
          </w:tcPr>
          <w:p>
            <w:r>
              <w:rPr>
                <w:b/>
                <w:bCs/>
                <w:sz w:val="19"/>
                <w:szCs w:val="19"/>
              </w:rPr>
              <w:t xml:space="preserve">Hito / Restricción</w:t>
            </w:r>
          </w:p>
        </w:tc>
        <w:tc>
          <w:tcPr>
            <w:tcW w:type="dxa" w:w="3500"/>
            <w:shd w:fill="F2F2F2" w:color="auto" w:val="clear"/>
            <w:tcMar>
              <w:top w:type="dxa" w:w="50"/>
              <w:left w:type="dxa" w:w="90"/>
              <w:bottom w:type="dxa" w:w="50"/>
              <w:right w:type="dxa" w:w="90"/>
            </w:tcMar>
          </w:tcPr>
          <w:p>
            <w:r>
              <w:rPr>
                <w:b/>
                <w:bCs/>
                <w:sz w:val="19"/>
                <w:szCs w:val="19"/>
              </w:rPr>
              <w:t xml:space="preserve">Fecha / Plazo</w:t>
            </w:r>
          </w:p>
        </w:tc>
        <w:tc>
          <w:tcPr>
            <w:tcW w:type="dxa" w:w="2500"/>
            <w:shd w:fill="F2F2F2" w:color="auto" w:val="clear"/>
            <w:tcMar>
              <w:top w:type="dxa" w:w="50"/>
              <w:left w:type="dxa" w:w="90"/>
              <w:bottom w:type="dxa" w:w="50"/>
              <w:right w:type="dxa" w:w="90"/>
            </w:tcMar>
          </w:tcPr>
          <w:p>
            <w:r>
              <w:rPr>
                <w:b/>
                <w:bCs/>
                <w:sz w:val="19"/>
                <w:szCs w:val="19"/>
              </w:rPr>
              <w:t xml:space="preserve">Impacto</w:t>
            </w:r>
          </w:p>
        </w:tc>
      </w:tr>
      <w:tr>
        <w:tc>
          <w:tcPr>
            <w:tcW w:type="dxa" w:w="3000"/>
            <w:tcMar>
              <w:top w:type="dxa" w:w="50"/>
              <w:left w:type="dxa" w:w="90"/>
              <w:bottom w:type="dxa" w:w="50"/>
              <w:right w:type="dxa" w:w="90"/>
            </w:tcMar>
          </w:tcPr>
          <w:p>
            <w:pPr>
              <w:spacing w:line="240"/>
            </w:pPr>
            <w:r>
              <w:rPr>
                <w:sz w:val="18"/>
                <w:szCs w:val="18"/>
              </w:rPr>
              <w:t xml:space="preserve">Horizonte de anticipación del negocio</w:t>
            </w:r>
          </w:p>
        </w:tc>
        <w:tc>
          <w:tcPr>
            <w:tcW w:type="dxa" w:w="3500"/>
            <w:tcMar>
              <w:top w:type="dxa" w:w="50"/>
              <w:left w:type="dxa" w:w="90"/>
              <w:bottom w:type="dxa" w:w="50"/>
              <w:right w:type="dxa" w:w="90"/>
            </w:tcMar>
          </w:tcPr>
          <w:p>
            <w:pPr>
              <w:spacing w:line="240"/>
            </w:pPr>
            <w:r>
              <w:rPr>
                <w:sz w:val="18"/>
                <w:szCs w:val="18"/>
              </w:rPr>
              <w:t xml:space="preserve">Se requieren 60–90 días entre la alerta y la acción; la ejecución (liquidar/transferir/discontinuar) demora 2–4 semanas.</w:t>
            </w:r>
          </w:p>
        </w:tc>
        <w:tc>
          <w:tcPr>
            <w:tcW w:type="dxa" w:w="2500"/>
            <w:tcMar>
              <w:top w:type="dxa" w:w="50"/>
              <w:left w:type="dxa" w:w="90"/>
              <w:bottom w:type="dxa" w:w="50"/>
              <w:right w:type="dxa" w:w="90"/>
            </w:tcMar>
          </w:tcPr>
          <w:p>
            <w:pPr>
              <w:spacing w:line="240"/>
            </w:pPr>
            <w:r>
              <w:rPr>
                <w:sz w:val="18"/>
                <w:szCs w:val="18"/>
              </w:rPr>
              <w:t xml:space="preserve">Define el horizonte de predicción del modelo (3 meses).</w:t>
            </w:r>
          </w:p>
        </w:tc>
      </w:tr>
      <w:tr>
        <w:tc>
          <w:tcPr>
            <w:tcW w:type="dxa" w:w="3000"/>
            <w:shd w:fill="F2F2F2" w:color="auto" w:val="clear"/>
            <w:tcMar>
              <w:top w:type="dxa" w:w="50"/>
              <w:left w:type="dxa" w:w="90"/>
              <w:bottom w:type="dxa" w:w="50"/>
              <w:right w:type="dxa" w:w="90"/>
            </w:tcMar>
          </w:tcPr>
          <w:p>
            <w:pPr>
              <w:spacing w:line="240"/>
            </w:pPr>
            <w:r>
              <w:rPr>
                <w:sz w:val="18"/>
                <w:szCs w:val="18"/>
              </w:rPr>
              <w:t xml:space="preserve">Alcance acotado a un piloto</w:t>
            </w:r>
          </w:p>
        </w:tc>
        <w:tc>
          <w:tcPr>
            <w:tcW w:type="dxa" w:w="3500"/>
            <w:shd w:fill="F2F2F2" w:color="auto" w:val="clear"/>
            <w:tcMar>
              <w:top w:type="dxa" w:w="50"/>
              <w:left w:type="dxa" w:w="90"/>
              <w:bottom w:type="dxa" w:w="50"/>
              <w:right w:type="dxa" w:w="90"/>
            </w:tcMar>
          </w:tcPr>
          <w:p>
            <w:pPr>
              <w:spacing w:line="240"/>
            </w:pPr>
            <w:r>
              <w:rPr>
                <w:sz w:val="18"/>
                <w:szCs w:val="18"/>
              </w:rPr>
              <w:t xml:space="preserve">La dirección prefiere iniciar con un piloto de 2–3 categorías (p. ej. Decoración y Regalos) antes de escalar a ~800 SKUs × 28 tiendas.</w:t>
            </w:r>
          </w:p>
        </w:tc>
        <w:tc>
          <w:tcPr>
            <w:tcW w:type="dxa" w:w="2500"/>
            <w:shd w:fill="F2F2F2" w:color="auto" w:val="clear"/>
            <w:tcMar>
              <w:top w:type="dxa" w:w="50"/>
              <w:left w:type="dxa" w:w="90"/>
              <w:bottom w:type="dxa" w:w="50"/>
              <w:right w:type="dxa" w:w="90"/>
            </w:tcMar>
          </w:tcPr>
          <w:p>
            <w:pPr>
              <w:spacing w:line="240"/>
            </w:pPr>
            <w:r>
              <w:rPr>
                <w:sz w:val="18"/>
                <w:szCs w:val="18"/>
              </w:rPr>
              <w:t xml:space="preserve">El alcance inicial se limita a categorías seleccionadas; el escalado al catálogo completo queda para una etapa posterior.</w:t>
            </w:r>
          </w:p>
        </w:tc>
      </w:tr>
      <w:tr>
        <w:tc>
          <w:tcPr>
            <w:tcW w:type="dxa" w:w="3000"/>
            <w:tcMar>
              <w:top w:type="dxa" w:w="50"/>
              <w:left w:type="dxa" w:w="90"/>
              <w:bottom w:type="dxa" w:w="50"/>
              <w:right w:type="dxa" w:w="90"/>
            </w:tcMar>
          </w:tcPr>
          <w:p>
            <w:pPr>
              <w:spacing w:line="240"/>
            </w:pPr>
            <w:r>
              <w:rPr>
                <w:sz w:val="18"/>
                <w:szCs w:val="18"/>
              </w:rPr>
              <w:t xml:space="preserve">Fecha límite de negocio</w:t>
            </w:r>
          </w:p>
        </w:tc>
        <w:tc>
          <w:tcPr>
            <w:tcW w:type="dxa" w:w="3500"/>
            <w:tcMar>
              <w:top w:type="dxa" w:w="50"/>
              <w:left w:type="dxa" w:w="90"/>
              <w:bottom w:type="dxa" w:w="50"/>
              <w:right w:type="dxa" w:w="90"/>
            </w:tcMar>
          </w:tcPr>
          <w:p>
            <w:pPr>
              <w:spacing w:line="240"/>
            </w:pPr>
            <w:r>
              <w:rPr>
                <w:sz w:val="18"/>
                <w:szCs w:val="18"/>
              </w:rPr>
              <w:t xml:space="preserve">Resultados demostrables idealmente antes del cierre de inventario de fin de año; piloto validado en los próximos 3–4 meses.</w:t>
            </w:r>
          </w:p>
        </w:tc>
        <w:tc>
          <w:tcPr>
            <w:tcW w:type="dxa" w:w="2500"/>
            <w:tcMar>
              <w:top w:type="dxa" w:w="50"/>
              <w:left w:type="dxa" w:w="90"/>
              <w:bottom w:type="dxa" w:w="50"/>
              <w:right w:type="dxa" w:w="90"/>
            </w:tcMar>
          </w:tcPr>
          <w:p>
            <w:pPr>
              <w:spacing w:line="240"/>
            </w:pPr>
            <w:r>
              <w:rPr>
                <w:sz w:val="18"/>
                <w:szCs w:val="18"/>
              </w:rPr>
              <w:t xml:space="preserve">Obliga a priorizar entregables tempranos: diagnóstico de calidad de datos y variable objetivo acordada en 30–45 días.</w:t>
            </w:r>
          </w:p>
        </w:tc>
      </w:tr>
      <w:tr>
        <w:tc>
          <w:tcPr>
            <w:tcW w:type="dxa" w:w="3000"/>
            <w:shd w:fill="F2F2F2" w:color="auto" w:val="clear"/>
            <w:tcMar>
              <w:top w:type="dxa" w:w="50"/>
              <w:left w:type="dxa" w:w="90"/>
              <w:bottom w:type="dxa" w:w="50"/>
              <w:right w:type="dxa" w:w="90"/>
            </w:tcMar>
          </w:tcPr>
          <w:p>
            <w:pPr>
              <w:spacing w:line="240"/>
            </w:pPr>
            <w:r>
              <w:rPr>
                <w:sz w:val="18"/>
                <w:szCs w:val="18"/>
              </w:rPr>
              <w:t xml:space="preserve">Disponibilidad limitada de usuarios clave</w:t>
            </w:r>
          </w:p>
        </w:tc>
        <w:tc>
          <w:tcPr>
            <w:tcW w:type="dxa" w:w="3500"/>
            <w:shd w:fill="F2F2F2" w:color="auto" w:val="clear"/>
            <w:tcMar>
              <w:top w:type="dxa" w:w="50"/>
              <w:left w:type="dxa" w:w="90"/>
              <w:bottom w:type="dxa" w:w="50"/>
              <w:right w:type="dxa" w:w="90"/>
            </w:tcMar>
          </w:tcPr>
          <w:p>
            <w:pPr>
              <w:spacing w:line="240"/>
            </w:pPr>
            <w:r>
              <w:rPr>
                <w:sz w:val="18"/>
                <w:szCs w:val="18"/>
              </w:rPr>
              <w:t xml:space="preserve">Alta carga operativa de responsables de tienda, compras, finanzas y comercial.</w:t>
            </w:r>
          </w:p>
        </w:tc>
        <w:tc>
          <w:tcPr>
            <w:tcW w:type="dxa" w:w="2500"/>
            <w:shd w:fill="F2F2F2" w:color="auto" w:val="clear"/>
            <w:tcMar>
              <w:top w:type="dxa" w:w="50"/>
              <w:left w:type="dxa" w:w="90"/>
              <w:bottom w:type="dxa" w:w="50"/>
              <w:right w:type="dxa" w:w="90"/>
            </w:tcMar>
          </w:tcPr>
          <w:p>
            <w:pPr>
              <w:spacing w:line="240"/>
            </w:pPr>
            <w:r>
              <w:rPr>
                <w:sz w:val="18"/>
                <w:szCs w:val="18"/>
              </w:rPr>
              <w:t xml:space="preserve">Instancias de validación y feedback cualitativo acotadas; requiere planificación anticipada.</w:t>
            </w:r>
          </w:p>
        </w:tc>
      </w:tr>
    </w:tbl>
    <w:p>
      <w:pPr>
        <w:pStyle w:val="Heading2"/>
        <w:spacing w:after="100" w:before="240"/>
      </w:pPr>
      <w:r>
        <w:rPr>
          <w:b/>
          <w:bCs/>
          <w:color w:val="C0504D"/>
          <w:sz w:val="22"/>
          <w:szCs w:val="22"/>
        </w:rPr>
        <w:t xml:space="preserve">3.3 Restricciones presupuestarias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2F2" w:color="auto" w:val="clear"/>
            <w:tcMar>
              <w:top w:type="dxa" w:w="50"/>
              <w:left w:type="dxa" w:w="90"/>
              <w:bottom w:type="dxa" w:w="50"/>
              <w:right w:type="dxa" w:w="90"/>
            </w:tcMar>
          </w:tcPr>
          <w:p>
            <w:r>
              <w:rPr>
                <w:b/>
                <w:bCs/>
                <w:sz w:val="19"/>
                <w:szCs w:val="19"/>
              </w:rPr>
              <w:t xml:space="preserve">Presupuesto disponible</w:t>
            </w:r>
          </w:p>
        </w:tc>
        <w:tc>
          <w:tcPr>
            <w:tcW w:type="dxa" w:w="6000"/>
            <w:tcMar>
              <w:top w:type="dxa" w:w="50"/>
              <w:left w:type="dxa" w:w="90"/>
              <w:bottom w:type="dxa" w:w="50"/>
              <w:right w:type="dxa" w:w="90"/>
            </w:tcMar>
          </w:tcPr>
          <w:p>
            <w:pPr>
              <w:spacing w:line="240"/>
            </w:pPr>
            <w:r>
              <w:rPr>
                <w:sz w:val="19"/>
                <w:szCs w:val="19"/>
              </w:rPr>
              <w:t xml:space="preserve">USD 30.000 para toda la iniciativa, con prioridad en resultados de corto plazo, soluciones escalables gradualmente y foco en demostrar valor de negocio temprano. Cubre el desarrollo del modelo y una primera puesta en funcionamiento; no contempla licencias adicionales ni capacitación extensa (a evaluar en una 2ª etapa). En los primeros 30–45 días se espera un diagnóstico de calidad de datos validado, la variable objetivo acordada y una versión preliminar del modelo sobre datos reales.</w:t>
            </w:r>
          </w:p>
        </w:tc>
      </w:tr>
      <w:tr>
        <w:tc>
          <w:tcPr>
            <w:tcW w:type="dxa" w:w="3000"/>
            <w:shd w:fill="F2F2F2" w:color="auto" w:val="clear"/>
            <w:tcMar>
              <w:top w:type="dxa" w:w="50"/>
              <w:left w:type="dxa" w:w="90"/>
              <w:bottom w:type="dxa" w:w="50"/>
              <w:right w:type="dxa" w:w="90"/>
            </w:tcMar>
          </w:tcPr>
          <w:p>
            <w:r>
              <w:rPr>
                <w:b/>
                <w:bCs/>
                <w:sz w:val="19"/>
                <w:szCs w:val="19"/>
              </w:rPr>
              <w:t xml:space="preserve">Herramientas / licencias</w:t>
            </w:r>
          </w:p>
        </w:tc>
        <w:tc>
          <w:tcPr>
            <w:tcW w:type="dxa" w:w="6000"/>
            <w:tcMar>
              <w:top w:type="dxa" w:w="50"/>
              <w:left w:type="dxa" w:w="90"/>
              <w:bottom w:type="dxa" w:w="50"/>
              <w:right w:type="dxa" w:w="90"/>
            </w:tcMar>
          </w:tcPr>
          <w:p>
            <w:pPr>
              <w:spacing w:line="240"/>
            </w:pPr>
            <w:r>
              <w:rPr>
                <w:sz w:val="19"/>
                <w:szCs w:val="19"/>
              </w:rPr>
              <w:t xml:space="preserve">Se utilizarán herramientas de código abierto (open source) y librerías accesibles por todo el equipo. El uso de infraestructura Cloud con costo adicional queda a definir con Casa Óga, ya que impactaría el presupuesto.</w:t>
            </w:r>
          </w:p>
        </w:tc>
      </w:tr>
      <w:tr>
        <w:tc>
          <w:tcPr>
            <w:tcW w:type="dxa" w:w="3000"/>
            <w:shd w:fill="F2F2F2" w:color="auto" w:val="clear"/>
            <w:tcMar>
              <w:top w:type="dxa" w:w="50"/>
              <w:left w:type="dxa" w:w="90"/>
              <w:bottom w:type="dxa" w:w="50"/>
              <w:right w:type="dxa" w:w="90"/>
            </w:tcMar>
          </w:tcPr>
          <w:p>
            <w:r>
              <w:rPr>
                <w:b/>
                <w:bCs/>
                <w:sz w:val="19"/>
                <w:szCs w:val="19"/>
              </w:rPr>
              <w:t xml:space="preserve">Recursos externos</w:t>
            </w:r>
          </w:p>
        </w:tc>
        <w:tc>
          <w:tcPr>
            <w:tcW w:type="dxa" w:w="6000"/>
            <w:tcMar>
              <w:top w:type="dxa" w:w="50"/>
              <w:left w:type="dxa" w:w="90"/>
              <w:bottom w:type="dxa" w:w="50"/>
              <w:right w:type="dxa" w:w="90"/>
            </w:tcMar>
          </w:tcPr>
          <w:p>
            <w:pPr>
              <w:spacing w:line="240"/>
            </w:pPr>
            <w:r>
              <w:rPr>
                <w:sz w:val="19"/>
                <w:szCs w:val="19"/>
              </w:rPr>
              <w:t xml:space="preserve">El presupuesto acotado no contempla la contratación de consultores adicionales ni proveedores de datos externos.</w:t>
            </w:r>
          </w:p>
        </w:tc>
      </w:tr>
      <w:tr>
        <w:tc>
          <w:tcPr>
            <w:tcW w:type="dxa" w:w="3000"/>
            <w:shd w:fill="F2F2F2" w:color="auto" w:val="clear"/>
            <w:tcMar>
              <w:top w:type="dxa" w:w="50"/>
              <w:left w:type="dxa" w:w="90"/>
              <w:bottom w:type="dxa" w:w="50"/>
              <w:right w:type="dxa" w:w="90"/>
            </w:tcMar>
          </w:tcPr>
          <w:p>
            <w:r>
              <w:rPr>
                <w:b/>
                <w:bCs/>
                <w:sz w:val="19"/>
                <w:szCs w:val="19"/>
              </w:rPr>
              <w:t xml:space="preserve">Costo de datos</w:t>
            </w:r>
          </w:p>
        </w:tc>
        <w:tc>
          <w:tcPr>
            <w:tcW w:type="dxa" w:w="6000"/>
            <w:tcMar>
              <w:top w:type="dxa" w:w="50"/>
              <w:left w:type="dxa" w:w="90"/>
              <w:bottom w:type="dxa" w:w="50"/>
              <w:right w:type="dxa" w:w="90"/>
            </w:tcMar>
          </w:tcPr>
          <w:p>
            <w:pPr>
              <w:spacing w:line="240"/>
            </w:pPr>
            <w:r>
              <w:rPr>
                <w:sz w:val="19"/>
                <w:szCs w:val="19"/>
              </w:rPr>
              <w:t xml:space="preserve">Se trabajará con datos internos provistos por Casa Óga, sin costo adicional.</w:t>
            </w:r>
          </w:p>
        </w:tc>
      </w:tr>
      <w:tr>
        <w:tc>
          <w:tcPr>
            <w:tcW w:type="dxa" w:w="3000"/>
            <w:shd w:fill="F2F2F2" w:color="auto" w:val="clear"/>
            <w:tcMar>
              <w:top w:type="dxa" w:w="50"/>
              <w:left w:type="dxa" w:w="90"/>
              <w:bottom w:type="dxa" w:w="50"/>
              <w:right w:type="dxa" w:w="90"/>
            </w:tcMar>
          </w:tcPr>
          <w:p>
            <w:r>
              <w:rPr>
                <w:b/>
                <w:bCs/>
                <w:sz w:val="19"/>
                <w:szCs w:val="19"/>
              </w:rPr>
              <w:t xml:space="preserve">Mantenimiento posterior</w:t>
            </w:r>
          </w:p>
        </w:tc>
        <w:tc>
          <w:tcPr>
            <w:tcW w:type="dxa" w:w="6000"/>
            <w:tcMar>
              <w:top w:type="dxa" w:w="50"/>
              <w:left w:type="dxa" w:w="90"/>
              <w:bottom w:type="dxa" w:w="50"/>
              <w:right w:type="dxa" w:w="90"/>
            </w:tcMar>
          </w:tcPr>
          <w:p>
            <w:pPr>
              <w:spacing w:line="240"/>
            </w:pPr>
            <w:r>
              <w:rPr>
                <w:sz w:val="19"/>
                <w:szCs w:val="19"/>
              </w:rPr>
              <w:t xml:space="preserve">No está definido quién asume el costo de mantenimiento y re-entrenamiento una vez agotado el presupuesto inicial (no existe área de datos interna); constituye un riesgo para la sostenibilidad. En el corto plazo el re-entrenamiento quedaría a cargo del equipo consultor o un analista part-time, y el output llegaría a los responsables de tienda vía un reporte simple (Excel/dashboard liviano).</w:t>
            </w:r>
          </w:p>
        </w:tc>
      </w:tr>
    </w:tbl>
    <w:p>
      <w:pPr>
        <w:pStyle w:val="Heading2"/>
        <w:spacing w:after="100" w:before="240"/>
      </w:pPr>
      <w:r>
        <w:rPr>
          <w:b/>
          <w:bCs/>
          <w:color w:val="C0504D"/>
          <w:sz w:val="22"/>
          <w:szCs w:val="22"/>
        </w:rPr>
        <w:t xml:space="preserve">3.4 Restricciones regulatorias y de compliance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2F2" w:color="auto" w:val="clear"/>
            <w:tcMar>
              <w:top w:type="dxa" w:w="50"/>
              <w:left w:type="dxa" w:w="90"/>
              <w:bottom w:type="dxa" w:w="50"/>
              <w:right w:type="dxa" w:w="90"/>
            </w:tcMar>
          </w:tcPr>
          <w:p>
            <w:r>
              <w:rPr>
                <w:b/>
                <w:bCs/>
                <w:sz w:val="19"/>
                <w:szCs w:val="19"/>
              </w:rPr>
              <w:t xml:space="preserve">Protección de datos</w:t>
            </w:r>
          </w:p>
        </w:tc>
        <w:tc>
          <w:tcPr>
            <w:tcW w:type="dxa" w:w="6000"/>
            <w:tcMar>
              <w:top w:type="dxa" w:w="50"/>
              <w:left w:type="dxa" w:w="90"/>
              <w:bottom w:type="dxa" w:w="50"/>
              <w:right w:type="dxa" w:w="90"/>
            </w:tcMar>
          </w:tcPr>
          <w:p>
            <w:pPr>
              <w:spacing w:line="240"/>
            </w:pPr>
            <w:r>
              <w:rPr>
                <w:sz w:val="19"/>
                <w:szCs w:val="19"/>
              </w:rPr>
              <w:t xml:space="preserve">Los datasets del alcance (28 tiendas físicas) no contienen datos personales de clientes, por lo que en esta etapa el proyecto no está alcanzado directamente por la Ley 25.326. El canal e-commerce —que sí incluiría DNI y nombre— queda fuera del alcance del piloto.</w:t>
            </w:r>
          </w:p>
        </w:tc>
      </w:tr>
      <w:tr>
        <w:tc>
          <w:tcPr>
            <w:tcW w:type="dxa" w:w="3000"/>
            <w:shd w:fill="F2F2F2" w:color="auto" w:val="clear"/>
            <w:tcMar>
              <w:top w:type="dxa" w:w="50"/>
              <w:left w:type="dxa" w:w="90"/>
              <w:bottom w:type="dxa" w:w="50"/>
              <w:right w:type="dxa" w:w="90"/>
            </w:tcMar>
          </w:tcPr>
          <w:p>
            <w:r>
              <w:rPr>
                <w:b/>
                <w:bCs/>
                <w:sz w:val="19"/>
                <w:szCs w:val="19"/>
              </w:rPr>
              <w:t xml:space="preserve">Retención de datos</w:t>
            </w:r>
          </w:p>
        </w:tc>
        <w:tc>
          <w:tcPr>
            <w:tcW w:type="dxa" w:w="6000"/>
            <w:tcMar>
              <w:top w:type="dxa" w:w="50"/>
              <w:left w:type="dxa" w:w="90"/>
              <w:bottom w:type="dxa" w:w="50"/>
              <w:right w:type="dxa" w:w="90"/>
            </w:tcMar>
          </w:tcPr>
          <w:p>
            <w:pPr>
              <w:spacing w:line="240"/>
            </w:pPr>
            <w:r>
              <w:rPr>
                <w:sz w:val="19"/>
                <w:szCs w:val="19"/>
              </w:rPr>
              <w:t xml:space="preserve">No existe una política formal de retención de datos. La disponibilidad histórica se acota al período entregado (2022–2025).</w:t>
            </w:r>
          </w:p>
        </w:tc>
      </w:tr>
      <w:tr>
        <w:tc>
          <w:tcPr>
            <w:tcW w:type="dxa" w:w="3000"/>
            <w:shd w:fill="F2F2F2" w:color="auto" w:val="clear"/>
            <w:tcMar>
              <w:top w:type="dxa" w:w="50"/>
              <w:left w:type="dxa" w:w="90"/>
              <w:bottom w:type="dxa" w:w="50"/>
              <w:right w:type="dxa" w:w="90"/>
            </w:tcMar>
          </w:tcPr>
          <w:p>
            <w:r>
              <w:rPr>
                <w:b/>
                <w:bCs/>
                <w:sz w:val="19"/>
                <w:szCs w:val="19"/>
              </w:rPr>
              <w:t xml:space="preserve">Acceso y permisos</w:t>
            </w:r>
          </w:p>
        </w:tc>
        <w:tc>
          <w:tcPr>
            <w:tcW w:type="dxa" w:w="6000"/>
            <w:tcMar>
              <w:top w:type="dxa" w:w="50"/>
              <w:left w:type="dxa" w:w="90"/>
              <w:bottom w:type="dxa" w:w="50"/>
              <w:right w:type="dxa" w:w="90"/>
            </w:tcMar>
          </w:tcPr>
          <w:p>
            <w:pPr>
              <w:spacing w:line="240"/>
            </w:pPr>
            <w:r>
              <w:rPr>
                <w:sz w:val="19"/>
                <w:szCs w:val="19"/>
              </w:rPr>
              <w:t xml:space="preserve">Los accesos a la información se gestionan de manera amplia y poco documentada; no hay roles formales de gobierno de datos ni una revisión legal específica sobre el uso de datos en proyectos analíticos.</w:t>
            </w:r>
          </w:p>
        </w:tc>
      </w:tr>
      <w:tr>
        <w:tc>
          <w:tcPr>
            <w:tcW w:type="dxa" w:w="3000"/>
            <w:shd w:fill="F2F2F2" w:color="auto" w:val="clear"/>
            <w:tcMar>
              <w:top w:type="dxa" w:w="50"/>
              <w:left w:type="dxa" w:w="90"/>
              <w:bottom w:type="dxa" w:w="50"/>
              <w:right w:type="dxa" w:w="90"/>
            </w:tcMar>
          </w:tcPr>
          <w:p>
            <w:r>
              <w:rPr>
                <w:b/>
                <w:bCs/>
                <w:sz w:val="19"/>
                <w:szCs w:val="19"/>
              </w:rPr>
              <w:t xml:space="preserve">Gobierno del dato maestro</w:t>
            </w:r>
          </w:p>
        </w:tc>
        <w:tc>
          <w:tcPr>
            <w:tcW w:type="dxa" w:w="6000"/>
            <w:tcMar>
              <w:top w:type="dxa" w:w="50"/>
              <w:left w:type="dxa" w:w="90"/>
              <w:bottom w:type="dxa" w:w="50"/>
              <w:right w:type="dxa" w:w="90"/>
            </w:tcMar>
          </w:tcPr>
          <w:p>
            <w:pPr>
              <w:spacing w:line="240"/>
            </w:pPr>
            <w:r>
              <w:rPr>
                <w:sz w:val="19"/>
                <w:szCs w:val="19"/>
              </w:rPr>
              <w:t xml:space="preserve">No existe un dueño formal del dato maestro de producto; las responsabilidades se distribuyen informalmente entre áreas, lo que es el probable origen de las inconsistencias detectadas.</w:t>
            </w:r>
          </w:p>
        </w:tc>
      </w:tr>
      <w:tr>
        <w:tc>
          <w:tcPr>
            <w:tcW w:type="dxa" w:w="3000"/>
            <w:shd w:fill="F2F2F2" w:color="auto" w:val="clear"/>
            <w:tcMar>
              <w:top w:type="dxa" w:w="50"/>
              <w:left w:type="dxa" w:w="90"/>
              <w:bottom w:type="dxa" w:w="50"/>
              <w:right w:type="dxa" w:w="90"/>
            </w:tcMar>
          </w:tcPr>
          <w:p>
            <w:r>
              <w:rPr>
                <w:b/>
                <w:bCs/>
                <w:sz w:val="19"/>
                <w:szCs w:val="19"/>
              </w:rPr>
              <w:t xml:space="preserve">Confidencialidad de proveedores</w:t>
            </w:r>
          </w:p>
        </w:tc>
        <w:tc>
          <w:tcPr>
            <w:tcW w:type="dxa" w:w="6000"/>
            <w:tcMar>
              <w:top w:type="dxa" w:w="50"/>
              <w:left w:type="dxa" w:w="90"/>
              <w:bottom w:type="dxa" w:w="50"/>
              <w:right w:type="dxa" w:w="90"/>
            </w:tcMar>
          </w:tcPr>
          <w:p>
            <w:pPr>
              <w:spacing w:line="240"/>
            </w:pPr>
            <w:r>
              <w:rPr>
                <w:sz w:val="19"/>
                <w:szCs w:val="19"/>
              </w:rPr>
              <w:t xml:space="preserve">Los costos unitarios y las condiciones comerciales por proveedor son información sensible que no debe circular fuera del equipo del proyecto. El aprobador formal de accesos aún no está designado; por ahora, todo acceso a datos de proveedores pasa por Diego P. (Compras).</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Casa Óga — Pág.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Casa Óga · Entregable 1 · Parte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Entregable 1 Parte B - Casa Óga</dc:title>
  <dc:creator>Grupo 1 - Casa Óga</dc:creator>
  <cp:lastModifiedBy>Un-named</cp:lastModifiedBy>
  <cp:revision>1</cp:revision>
  <dcterms:created xsi:type="dcterms:W3CDTF">2026-08-17T21:17:56.109Z</dcterms:created>
  <dcterms:modified xsi:type="dcterms:W3CDTF">2026-08-17T21:17:56.111Z</dcterms:modified>
</cp:coreProperties>
</file>

<file path=docProps/custom.xml><?xml version="1.0" encoding="utf-8"?>
<Properties xmlns="http://schemas.openxmlformats.org/officeDocument/2006/custom-properties" xmlns:vt="http://schemas.openxmlformats.org/officeDocument/2006/docPropsVTypes"/>
</file>