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160"/>
        <w:jc w:val="center"/>
      </w:pPr>
      <w:r>
        <w:rPr>
          <w:color w:val="808080"/>
          <w:sz w:val="20"/>
          <w:szCs w:val="20"/>
        </w:rPr>
        <w:t xml:space="preserve">Factibilidad de Proyectos Data Driven — 2C 2026</w:t>
      </w:r>
    </w:p>
    <w:p>
      <w:pPr>
        <w:spacing w:after="220"/>
        <w:jc w:val="center"/>
      </w:pPr>
      <w:r>
        <w:rPr>
          <w:color w:val="808080"/>
          <w:sz w:val="20"/>
          <w:szCs w:val="20"/>
        </w:rPr>
        <w:t xml:space="preserve">Entregable Nro 1</w:t>
      </w:r>
    </w:p>
    <w:p>
      <w:pPr>
        <w:spacing w:after="50" w:before="160"/>
        <w:jc w:val="center"/>
      </w:pPr>
      <w:r>
        <w:rPr>
          <w:b/>
          <w:bCs/>
          <w:sz w:val="38"/>
          <w:szCs w:val="38"/>
        </w:rPr>
        <w:t xml:space="preserve">Casa Óga — Retail de Hogar y Decoración</w:t>
      </w:r>
    </w:p>
    <w:p>
      <w:pPr>
        <w:spacing w:after="280"/>
        <w:jc w:val="center"/>
      </w:pPr>
      <w:r>
        <w:rPr>
          <w:color w:val="C0504D"/>
          <w:sz w:val="26"/>
          <w:szCs w:val="26"/>
        </w:rPr>
        <w:t xml:space="preserve">Entregable 1 · Parte D — Clase 4: Diseño de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2500"/>
      </w:tblGrid>
      <w:tr>
        <w:tc>
          <w:tcPr>
            <w:tcW w:type="dxa" w:w="21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Integrante(s)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Nombre(s) y legajos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Rol asignado en esta fase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Gerónimo Fasce — 64401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Gianfranco Di Claudio — 64505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Matías Fleischer — 65616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Simón Volpato Escandarani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Santiago Javier Hernández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Fecha de entrega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__/__/2026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</w:t>
            </w:r>
          </w:p>
        </w:tc>
        <w:tc>
          <w:tcPr>
            <w:tcW w:type="dxa" w:w="4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v2.0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 w:line="276"/>
        <w:jc w:val="both"/>
      </w:pPr>
      <w:r>
        <w:rPr>
          <w:i/>
          <w:iCs/>
          <w:color w:val="808080"/>
          <w:sz w:val="21"/>
          <w:szCs w:val="21"/>
        </w:rPr>
        <w:t xml:space="preserve">Versión actualizada con los resultados del mini-análisis de KPIs y la metodología de limpieza de datos del repositorio del proyecto. Corte de datos: enero 2022 – diciembre 2025 (48 meses, 28 tiendas).</w:t>
      </w:r>
    </w:p>
    <w:p>
      <w:pPr>
        <w:pStyle w:val="Heading1"/>
        <w:shd w:fill="F2F2F2" w:color="auto" w:val="clear"/>
        <w:spacing w:after="150" w:before="300"/>
      </w:pPr>
      <w:r>
        <w:rPr>
          <w:b/>
          <w:bCs/>
          <w:color w:val="000000"/>
          <w:sz w:val="28"/>
          <w:szCs w:val="28"/>
        </w:rPr>
        <w:t xml:space="preserve">Sección 1 · Objetivo y preguntas de negocio del dashboard</w:t>
      </w:r>
    </w:p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1.1 Objetivo del dashboard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Permitir a la Dirección Comercial, Compras, Finanzas y los responsables de tienda monitorear mensualmente el dead stock a nivel SKU–tienda: cuántas combinaciones están en riesgo, cuánto capital inmovilizan, cuánto cuesta mantenerlo y cómo evoluciona en el tiempo. El objetivo es pasar de una detección reactiva (conteo de inventario de fin de año) a una revisión mensual que permita liquidar, transferir o discontinuar a tiempo.</w:t>
      </w:r>
    </w:p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1.2 Preguntas de negocio a responder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¿Cuántas combinaciones SKU–tienda están en dead stock y qué porcentaje del catálogo con stock representan?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¿Cuánto capital está inmovilizado en dead stock y cuánto cuesta por mes mantenerlo?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¿Cómo evolucionó el problema en los últimos 3 años, en porcentaje y en pesos?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¿Qué categorías y tiendas concentran el dead stock, y cuáles mejoraron o empeoraron respecto de hace 12 meses?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¿Cuánto margen se pierde al liquidar, y qué parte de las liquidaciones termina vendiendo por debajo del costo?</w:t>
      </w:r>
    </w:p>
    <w:p>
      <w:pPr>
        <w:pStyle w:val="Heading1"/>
        <w:shd w:fill="F2F2F2" w:color="auto" w:val="clear"/>
        <w:spacing w:after="150" w:before="300"/>
      </w:pPr>
      <w:r>
        <w:rPr>
          <w:b/>
          <w:bCs/>
          <w:color w:val="000000"/>
          <w:sz w:val="28"/>
          <w:szCs w:val="28"/>
        </w:rPr>
        <w:t xml:space="preserve">Sección 2 · Definición de dead stock e indicadores</w:t>
      </w:r>
    </w:p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2.1 Definición de dead stock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Una combinación SKU–tienda se considera dead stock al mes de corte (con stock_disponible &gt; 0) si cumple cualquiera de estas tres condiciones:</w:t>
      </w:r>
    </w:p>
    <w:p>
      <w:pPr>
        <w:pStyle w:val="ListParagraph"/>
        <w:numPr>
          <w:ilvl w:val="0"/>
          <w:numId w:val="3"/>
        </w:numPr>
        <w:spacing w:after="80" w:line="264"/>
        <w:jc w:val="both"/>
      </w:pPr>
      <w:r>
        <w:rPr>
          <w:b/>
          <w:bCs/>
          <w:sz w:val="21"/>
          <w:szCs w:val="21"/>
        </w:rPr>
        <w:t xml:space="preserve">meses_sin_venta ≥ 3</w:t>
      </w:r>
      <w:r>
        <w:rPr>
          <w:sz w:val="21"/>
          <w:szCs w:val="21"/>
        </w:rPr>
        <w:t xml:space="preserve"> — no vendió nada en los últimos 3 meses consecutivos, mirando hacia atrás desde el corte sobre la grilla mensual completa, no solo las filas presentes.</w:t>
      </w:r>
    </w:p>
    <w:p>
      <w:pPr>
        <w:pStyle w:val="ListParagraph"/>
        <w:numPr>
          <w:ilvl w:val="0"/>
          <w:numId w:val="3"/>
        </w:numPr>
        <w:spacing w:after="80" w:line="264"/>
        <w:jc w:val="both"/>
      </w:pPr>
      <w:r>
        <w:rPr>
          <w:b/>
          <w:bCs/>
          <w:sz w:val="21"/>
          <w:szCs w:val="21"/>
        </w:rPr>
        <w:t xml:space="preserve">stock_muerto_proyectado &gt; 0</w:t>
      </w:r>
      <w:r>
        <w:rPr>
          <w:sz w:val="21"/>
          <w:szCs w:val="21"/>
        </w:rPr>
        <w:t xml:space="preserve"> — el stock actual excede lo que se vendería en los próximos 12 meses al ritmo reciente. Se calcula como run_rate = ventas de los últimos 12 meses ÷ meses reales que esa combinación lleva con datos (tope 12), y luego stock_muerto_proyectado = máx(0, stock_disponible − run_rate × 12). Captura el caso que el binario de cero ventas se pierde: un producto que vende poco pero tiene tanto stock encima que no lo va a rotar en un año.</w:t>
      </w:r>
    </w:p>
    <w:p>
      <w:pPr>
        <w:pStyle w:val="ListParagraph"/>
        <w:numPr>
          <w:ilvl w:val="0"/>
          <w:numId w:val="3"/>
        </w:numPr>
        <w:spacing w:after="80" w:line="264"/>
        <w:jc w:val="both"/>
      </w:pPr>
      <w:r>
        <w:rPr>
          <w:b/>
          <w:bCs/>
          <w:sz w:val="21"/>
          <w:szCs w:val="21"/>
        </w:rPr>
        <w:t xml:space="preserve">Discontinuado con stock</w:t>
      </w:r>
      <w:r>
        <w:rPr>
          <w:sz w:val="21"/>
          <w:szCs w:val="21"/>
        </w:rPr>
        <w:t xml:space="preserve"> — estado = Discontinuado y todavía tiene stock disponible. Si el negocio ya decidió no reponerlo, ese stock es candidato a liquidación por definición.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Se usa el OR (cualquiera de las tres) y no el AND: con AND el universo cae a menos del 1% del catálogo, porque exige que además de no haber vendido nada el stock sea estructuralmente excedente, y eso deja afuera el caso de «vende poco pero tiene demasiado stock».</w:t>
      </w:r>
    </w:p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2.2 Validación del semáforo propuesto por el negocio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El relevamiento planteaba un semáforo de rotación mensual: Rojo &lt;30%, Amarillo 30–70%, Verde &gt;70% (unidades vendidas ÷ stock disponible). Corrido sobre los datos reales, con ese umbral literal el 73,6% del catálogo queda en Rojo, muy por encima de la capacidad operativa declarada por el negocio (420 a 700 SKU–tienda por mes). El umbral tal cual está planteado no es accionable. Alternativas evaluadas: umbral relativo a la mediana de cada categoría, o directamente la definición de dead stock de la sección 2.1, que ya viene calibrada empíricamente. El umbral final debe validarse con el negocio.</w:t>
      </w:r>
    </w:p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2.3 Indicadores del dashboard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000"/>
        <w:gridCol w:w="1500"/>
        <w:gridCol w:w="12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6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Fórmula / Cálculo</w:t>
            </w:r>
          </w:p>
        </w:tc>
        <w:tc>
          <w:tcPr>
            <w:tcW w:type="dxa" w:w="20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actual (dic-2025)</w:t>
            </w:r>
          </w:p>
        </w:tc>
        <w:tc>
          <w:tcPr>
            <w:tcW w:type="dxa" w:w="15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 y dueño</w:t>
            </w:r>
          </w:p>
        </w:tc>
        <w:tc>
          <w:tcPr>
            <w:tcW w:type="dxa" w:w="12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 de combinaciones en dead stock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Combinaciones en dead stock ÷ combinaciones con stock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5,39% (431 de 7.993)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Mensual · Dir. Comercial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Ventas, Stock, Catálogo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Capital inmovilizado en dead stock</w:t>
            </w:r>
          </w:p>
        </w:tc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completo a costo si no vendió nada o está discontinuado; solo el excedente proyectado si es sobrestock</w:t>
            </w:r>
          </w:p>
        </w:tc>
        <w:tc>
          <w:tcPr>
            <w:tcW w:type="dxa" w:w="20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$34,2 M (0,97% del stock a costo)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Mensual · Dir. Financiera</w:t>
            </w:r>
          </w:p>
        </w:tc>
        <w:tc>
          <w:tcPr>
            <w:tcW w:type="dxa" w:w="12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Stock, Catálogo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Costo mensual de mantenimiento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5% mensual sobre precio de lista de las unidades en dead stock (2% almacenaje + 3% costo de oportunidad)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$3,15 M/mes (promedio 12 meses: $3,74 M)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Mensual · Dir. Financiera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Stock, Catálogo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Dead stock por categoría</w:t>
            </w:r>
          </w:p>
        </w:tc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 de combinaciones en dead stock por categoría, comparado contra hace 12 meses</w:t>
            </w:r>
          </w:p>
        </w:tc>
        <w:tc>
          <w:tcPr>
            <w:tcW w:type="dxa" w:w="20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Textil hogar 6,49% (empeoró) · Baño 6,03% (mejoró)</w:t>
            </w:r>
          </w:p>
        </w:tc>
        <w:tc>
          <w:tcPr>
            <w:tcW w:type="dxa" w:w="15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Mensual · Compras</w:t>
            </w:r>
          </w:p>
        </w:tc>
        <w:tc>
          <w:tcPr>
            <w:tcW w:type="dxa" w:w="12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Ventas, Stock, Catálogo</w:t>
            </w:r>
          </w:p>
        </w:tc>
      </w:tr>
      <w:tr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Caída de margen en liquidaciones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Margen de lista − margen con descuento aplicado; y % de liquidaciones bajo costo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23,1 pp de caída · 14,3% vende bajo costo</w:t>
            </w:r>
          </w:p>
        </w:tc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Mensual · Dir. Comercial</w:t>
            </w:r>
          </w:p>
        </w:tc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Liquidaciones, Catálogo</w:t>
            </w:r>
          </w:p>
        </w:tc>
      </w:tr>
    </w:tbl>
    <w:p>
      <w:pPr>
        <w:spacing w:after="110" w:line="276"/>
        <w:jc w:val="both"/>
      </w:pPr>
      <w:r>
        <w:rPr>
          <w:i/>
          <w:iCs/>
          <w:color w:val="808080"/>
          <w:sz w:val="21"/>
          <w:szCs w:val="21"/>
        </w:rPr>
        <w:t xml:space="preserve">Los umbrales de semáforo de cada indicador quedan pendientes de validación con el negocio; los valores actuales sirven como línea de base.</w:t>
      </w:r>
    </w:p>
    <w:p>
      <w:pPr>
        <w:pStyle w:val="Heading1"/>
        <w:shd w:fill="F2F2F2" w:color="auto" w:val="clear"/>
        <w:spacing w:after="150" w:before="300"/>
      </w:pPr>
      <w:r>
        <w:rPr>
          <w:b/>
          <w:bCs/>
          <w:color w:val="000000"/>
          <w:sz w:val="28"/>
          <w:szCs w:val="28"/>
        </w:rPr>
        <w:t xml:space="preserve">Sección 3 · Usuarios y audiencia del dashboard</w:t>
      </w:r>
    </w:p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3.1 Mapa de usuarios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Usuario / Rol</w:t>
            </w:r>
          </w:p>
        </w:tc>
        <w:tc>
          <w:tcPr>
            <w:tcW w:type="dxa" w:w="52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Pregunta clave que necesita responder</w:t>
            </w:r>
          </w:p>
        </w:tc>
        <w:tc>
          <w:tcPr>
            <w:tcW w:type="dxa" w:w="14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 de uso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Responsable de tienda</w:t>
            </w:r>
          </w:p>
        </w:tc>
        <w:tc>
          <w:tcPr>
            <w:tcW w:type="dxa" w:w="5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¿Qué productos de mi tienda están en dead stock este mes y cuáles priorizo?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Dirección Comercial (María G.)</w:t>
            </w:r>
          </w:p>
        </w:tc>
        <w:tc>
          <w:tcPr>
            <w:tcW w:type="dxa" w:w="52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¿Qué categorías concentran el dead stock? ¿Cuánto margen perdemos por liquidar tarde?</w:t>
            </w:r>
          </w:p>
        </w:tc>
        <w:tc>
          <w:tcPr>
            <w:tcW w:type="dxa" w:w="14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Gerencia de Compras (Diego P.)</w:t>
            </w:r>
          </w:p>
        </w:tc>
        <w:tc>
          <w:tcPr>
            <w:tcW w:type="dxa" w:w="5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¿Qué productos tienen sobrestock estructural? ¿Qué comprar distinto la próxima vez?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Dirección Financiera (Carlos F.)</w:t>
            </w:r>
          </w:p>
        </w:tc>
        <w:tc>
          <w:tcPr>
            <w:tcW w:type="dxa" w:w="52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¿Cuánto capital está inmovilizado y cuánto cuesta por mes? ¿Cómo evoluciona?</w:t>
            </w:r>
          </w:p>
        </w:tc>
        <w:tc>
          <w:tcPr>
            <w:tcW w:type="dxa" w:w="14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Gerencia de Operaciones (Lucía O.)</w:t>
            </w:r>
          </w:p>
        </w:tc>
        <w:tc>
          <w:tcPr>
            <w:tcW w:type="dxa" w:w="5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¿Qué tiendas conviene priorizar para transferir stock inmovilizado?</w:t>
            </w:r>
          </w:p>
        </w:tc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</w:tr>
    </w:tbl>
    <w:p>
      <w:pPr>
        <w:pStyle w:val="Heading1"/>
        <w:shd w:fill="F2F2F2" w:color="auto" w:val="clear"/>
        <w:spacing w:after="150" w:before="300"/>
      </w:pPr>
      <w:r>
        <w:rPr>
          <w:b/>
          <w:bCs/>
          <w:color w:val="000000"/>
          <w:sz w:val="28"/>
          <w:szCs w:val="28"/>
        </w:rPr>
        <w:t xml:space="preserve">Sección 4 · Diseño / boceto del dashboard</w:t>
      </w:r>
    </w:p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4.1 Estructura</w:t>
      </w:r>
    </w:p>
    <w:p>
      <w:pPr>
        <w:spacing w:after="110" w:line="276"/>
        <w:jc w:val="both"/>
      </w:pPr>
      <w:r>
        <w:rPr>
          <w:b w:val="false"/>
          <w:bCs w:val="false"/>
          <w:sz w:val="21"/>
          <w:szCs w:val="21"/>
        </w:rPr>
        <w:t xml:space="preserve">Filtros: tienda, región, categoría, estado del producto (Activo / Discontinuado) y mes de corte.</w:t>
      </w:r>
    </w:p>
    <w:p>
      <w:pPr>
        <w:spacing w:after="110" w:line="276"/>
        <w:jc w:val="both"/>
      </w:pPr>
      <w:r>
        <w:rPr>
          <w:b w:val="false"/>
          <w:bCs w:val="false"/>
          <w:sz w:val="21"/>
          <w:szCs w:val="21"/>
        </w:rPr>
        <w:t xml:space="preserve">Tarjetas de KPI: los cinco indicadores de la sección 2.3.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Visualizaciones: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Evolución mensual del dead stock en % y en pesos (ene-2023 a dic-2025), que muestra la divergencia entre ambas series.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Dead stock por categoría, comparando el valor actual contra el de hace 12 meses.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Ranking de combinaciones SKU–tienda en dead stock, ordenado por capital inmovilizado.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Caída de margen en liquidaciones, por motivo y por categoría.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Concentración del catálogo (Pareto): 247 de 798 SKUs con venta explican el 80% de la facturación.</w:t>
      </w:r>
    </w:p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4.2 Nivel de detalle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Tabla de detalle a nivel SKU–tienda con drill-down desde categoría y desde tienda. Prototipos ya publicados: «Casa Óga en Números», «Histórico % vendido» y «Dead Stock — Diagnóstico y Predictivo» (enlaces en el repositorio del proyecto).</w:t>
      </w:r>
    </w:p>
    <w:p>
      <w:pPr>
        <w:pStyle w:val="Heading1"/>
        <w:shd w:fill="F2F2F2" w:color="auto" w:val="clear"/>
        <w:spacing w:after="150" w:before="300"/>
      </w:pPr>
      <w:r>
        <w:rPr>
          <w:b/>
          <w:bCs/>
          <w:color w:val="000000"/>
          <w:sz w:val="28"/>
          <w:szCs w:val="28"/>
        </w:rPr>
        <w:t xml:space="preserve">Sección 5 · Fuentes de datos y granularidad</w:t>
      </w:r>
    </w:p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5.1 Datos que alimentan el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36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800"/>
            <w:shd w:fill="1F386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 en el dashboard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Ventas_SKU_tienda_mensual.csv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Disponible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Run rate, meses sin venta, facturación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Stock_SKU_tienda_mensual.csv</w:t>
            </w:r>
          </w:p>
        </w:tc>
        <w:tc>
          <w:tcPr>
            <w:tcW w:type="dxa" w:w="3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Disponible</w:t>
            </w:r>
          </w:p>
        </w:tc>
        <w:tc>
          <w:tcPr>
            <w:tcW w:type="dxa" w:w="28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disponible, cobertura, capital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Productos_catalogo.csv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Disponible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Categoría, costo, precio, estado, fechas de alta/baja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Liquidaciones.csv</w:t>
            </w:r>
          </w:p>
        </w:tc>
        <w:tc>
          <w:tcPr>
            <w:tcW w:type="dxa" w:w="3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Disponible</w:t>
            </w:r>
          </w:p>
        </w:tc>
        <w:tc>
          <w:tcPr>
            <w:tcW w:type="dxa" w:w="28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Caída de margen, motivos de liquidación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Calendario.csv / Tiendas.csv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Disponible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Temporada, región, formato de tienda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Proveedores.csv</w:t>
            </w:r>
          </w:p>
        </w:tc>
        <w:tc>
          <w:tcPr>
            <w:tcW w:type="dxa" w:w="3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 — figura como entregado en el relevamiento pero no está entre los archivos recibidos</w:t>
            </w:r>
          </w:p>
        </w:tc>
        <w:tc>
          <w:tcPr>
            <w:tcW w:type="dxa" w:w="28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Lead time, lote mínimo, condiciones de devolución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Costo_almacenamiento.csv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 — figura como entregado en el relevamiento pero no está entre los archivos recibidos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Costo de almacenamiento por categoría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Promociones / campañas</w:t>
            </w:r>
          </w:p>
        </w:tc>
        <w:tc>
          <w:tcPr>
            <w:tcW w:type="dxa" w:w="36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disponible — existe pero no fue exportado (2-3 semanas)</w:t>
            </w:r>
          </w:p>
        </w:tc>
        <w:tc>
          <w:tcPr>
            <w:tcW w:type="dxa" w:w="28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Fuera de alcance de la V1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Presupuesto de ventas por tienda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disponible — no fue compartido en esta etapa (1-2 semanas)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Fuera de alcance de la V1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Granularidad</w:t>
            </w:r>
          </w:p>
        </w:tc>
        <w:tc>
          <w:tcPr>
            <w:tcW w:type="dxa" w:w="6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SKU–tienda–mes. Los sistemas de origen se actualizan a diario, pero la consolidación que recibe el proyecto es mensual y la extracción diaria no está automatizada.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Frecuencia de actualización</w:t>
            </w:r>
          </w:p>
        </w:tc>
        <w:tc>
          <w:tcPr>
            <w:tcW w:type="dxa" w:w="6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Mensual, alineada al cierre de cada mes.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Historia disponible</w:t>
            </w:r>
          </w:p>
        </w:tc>
        <w:tc>
          <w:tcPr>
            <w:tcW w:type="dxa" w:w="6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Enero 2022 – diciembre 2025 (48 meses). No hay datos confiables previos a 2022 por cambio de sistema de POS.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5.2 Calidad de datos conocida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Correcciones aplicadas, con columnas de auditoría para poder filtrar o revertir cada una: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1.209 filas de stock con stock_disponible negativo, corregidas a 0 y marcadas. Causa raíz sin confirmar con el equipo de Inventario.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2.317 filas de ventas con unidades y venta neta negativas, corregidas a 0 y marcadas. Podrían ser devoluciones mal codificadas: el negocio confirmó que entregará un dataset de devoluciones aparte.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15 SKUs duplicados en el catálogo (mismo id_producto en 2 filas); se conservó la primera ocurrencia.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Categorías con nombres inconsistentes (Decoración/DECO, Textil Hogar/TEXTIL_HOGAR): 21 SKUs normalizados.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22 SKUs sin costo_unitario, imputados con la mediana de su categoría y marcados como imputados.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8 liquidaciones con fechas no parseables y 3 con descuento fuera del rango 0–100%, marcadas y acotadas.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sz w:val="21"/>
          <w:szCs w:val="21"/>
        </w:rPr>
        <w:t xml:space="preserve">77 filas 100% duplicadas entre ventas y stock, eliminadas.</w:t>
      </w:r>
    </w:p>
    <w:p>
      <w:pPr>
        <w:pStyle w:val="Heading1"/>
        <w:shd w:fill="F2F2F2" w:color="auto" w:val="clear"/>
        <w:spacing w:after="150" w:before="300"/>
      </w:pPr>
      <w:r>
        <w:rPr>
          <w:b/>
          <w:bCs/>
          <w:color w:val="000000"/>
          <w:sz w:val="28"/>
          <w:szCs w:val="28"/>
        </w:rPr>
        <w:t xml:space="preserve">Sección 6 · Herramienta y alcance de la V1</w:t>
      </w:r>
    </w:p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6.1 Alcance de la primera versión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Herramienta elegida</w:t>
            </w:r>
          </w:p>
        </w:tc>
        <w:tc>
          <w:tcPr>
            <w:tcW w:type="dxa" w:w="6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(análisis) y HTML (dashboard). Solución open source y liviana, sin costo recurrente de infraestructura, en línea con la directriz del negocio para esta etapa.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Alcance V1</w:t>
            </w:r>
          </w:p>
        </w:tc>
        <w:tc>
          <w:tcPr>
            <w:tcW w:type="dxa" w:w="6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Diagnóstico de dead stock sobre las 28 tiendas: los cinco indicadores de la sección 2.3, evolución mensual, apertura por categoría y tienda, y ranking de combinaciones por capital inmovilizado.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Fuera de alcance V1</w:t>
            </w:r>
          </w:p>
        </w:tc>
        <w:tc>
          <w:tcPr>
            <w:tcW w:type="dxa" w:w="6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predictivo, alertas automáticas, canal e-commerce, promociones y comparación contra presupuesto.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Plan de evolución (V2)</w:t>
            </w:r>
          </w:p>
        </w:tc>
        <w:tc>
          <w:tcPr>
            <w:tcW w:type="dxa" w:w="6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Formalizar el sistema predictivo con alertas mensuales por combinación SKU–tienda, e incorporar transferencias entre tiendas y Proveedores.csv para poder recomendar acciones concretas (reponer distinto, transferir, liquidar) y no solo detectar el problema.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6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Santiago Hernández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C0504D"/>
          <w:sz w:val="22"/>
          <w:szCs w:val="22"/>
        </w:rPr>
        <w:t xml:space="preserve">6.2 Datos pendientes de reclamar</w:t>
      </w:r>
    </w:p>
    <w:p>
      <w:pPr>
        <w:spacing w:after="110" w:line="276"/>
        <w:jc w:val="both"/>
      </w:pPr>
      <w:r>
        <w:rPr>
          <w:sz w:val="21"/>
          <w:szCs w:val="21"/>
        </w:rPr>
        <w:t xml:space="preserve">Proveedores.csv y Costo_almacenamiento.csv figuran como entregados en la Parte 3 del relevamiento pero no están entre los archivos recibidos. Se solicitó además a Gerencia de Operaciones el histórico de transferencias entre tiendas y depósito, y al negocio los movimientos de 2026 disponibles a la fecha.</w:t>
      </w:r>
    </w:p>
    <w:sectPr>
      <w:headerReference w:type="default" r:id="rId7"/>
      <w:footerReference w:type="default" r:id="rId8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Casa Óga — 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Casa Óga · Entregable 1 · Parte 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1 Parte D - Casa Óga</dc:title>
  <dc:creator>Grupo 1 - Casa Óga</dc:creator>
  <cp:lastModifiedBy>Un-named</cp:lastModifiedBy>
  <cp:revision>1</cp:revision>
  <dcterms:created xsi:type="dcterms:W3CDTF">2026-08-30T17:54:03.347Z</dcterms:created>
  <dcterms:modified xsi:type="dcterms:W3CDTF">2026-08-30T17:54:03.348Z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