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filas negativas de Ventas coinciden una a una con Devoluciones_SKU.</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El dato no está disponible en ninguna otra fuente.</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 xml:space="preserve">Respecto de la evaluación de la Parte A, mejoran la consistencia de Productos_catalogo y Promociones (por la unificación de categorías) y la validez de Liquidaciones (por la corrección de formato de fecha). Empeora la actualidad de Devoluciones, Calendario y Productos_catalogo, que no acompañaron la extensión del período a 2026.</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Revisar los 15 casos con Compras y determinar cuáles son productos multi-proveedor legítimos y cuáles errores de carga.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Reemplazar las ventas negativas por el dataset de devoluciones, que las representa una a una. Corregir el circuito para que una devolución no se registre como venta negativa. Investigar el origen del stock negativo, que no tiene contraparte conocida.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Documentar en qué momento del mes se informa el stock. Si el corte es a fin de mes, la inconsistencia es esperable y debe aclararse; si no, investigar la sincronización entre el punto de venta y el sistema de inventario.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Definir con Contable y el proveedor del punto de venta con qué precio se valúa la venta. Si corresponde, recalcular la serie histórica con el precio vigente de cada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Corregir los cinco registros afectados e incorporar validaciones de rango [0, 100] en la carga de liquidaciones y promociones. Revisar los tres presupuestos negativos y los 309 ceros de 2022.</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Completar el costo unitario de los 22 SKUs desde el historial de órdenes de compra, que registra el costo efectivamente pagado. Documentar el criterio en caso de tener que imputarlo.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i/>
          <w:iCs/>
          <w:color w:val="808080"/>
          <w:sz w:val="21"/>
          <w:szCs w:val="21"/>
        </w:rPr>
        <w:t xml:space="preserve">Generar un dashboard de calidad de datos, donde se muestre una vista comparativa con los datos crudos (antes de la revisión de calidad) y otra con los datos ya corregidos (después de aplicar el plan de mejora). El objetivo es evidenciar de forma concreta cuánto cambia el resultado del análisis por efecto de los problemas de calidad detectados.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4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i/>
          <w:iCs/>
          <w:color w:val="808080"/>
          <w:sz w:val="21"/>
          <w:szCs w:val="21"/>
        </w:rPr>
        <w:t xml:space="preserve">Una vez corregidos los problemas de calidad, definir con precisión el dataset que se utilizará para entrenar el modelo de machine learning del caso (ver Fase 2 — Proyecto de analítica del caso asignado).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i/>
          <w:iCs/>
          <w:color w:val="808080"/>
          <w:sz w:val="21"/>
          <w:szCs w:val="21"/>
        </w:rPr>
        <w:t xml:space="preserve">Documentar todas las transformaciones aplicadas a los datos ya corregidos, para dejarlos en condiciones de ser utilizados por un modelo de machine learning (distinto del trabajo de calidad de datos, que corrige errores; esto adapta datos correctos al formato que el modelo necesita).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Otra (especificar)</w:t>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2026-09-22T23:47:36.827Z</dcterms:created>
  <dcterms:modified xsi:type="dcterms:W3CDTF">2026-09-22T23:47:36.840Z</dcterms:modified>
</cp:coreProperties>
</file>

<file path=docProps/custom.xml><?xml version="1.0" encoding="utf-8"?>
<Properties xmlns="http://schemas.openxmlformats.org/officeDocument/2006/custom-properties" xmlns:vt="http://schemas.openxmlformats.org/officeDocument/2006/docPropsVTypes"/>
</file>