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left"/>
      </w:pPr>
      <w:r>
        <w:rPr>
          <w:rFonts w:ascii="Arial" w:cs="Arial" w:eastAsia="Arial" w:hAnsi="Arial"/>
          <w:b/>
          <w:bCs/>
          <w:color w:val="1D9E75"/>
          <w:sz w:val="52"/>
          <w:szCs w:val="52"/>
        </w:rPr>
        <w:t xml:space="preserve">Zielarchitektur Versicherung</w:t>
      </w:r>
    </w:p>
    <w:p>
      <w:pPr>
        <w:spacing w:after="280" w:before="0"/>
      </w:pPr>
      <w:r>
        <w:rPr>
          <w:rFonts w:ascii="Arial" w:cs="Arial" w:eastAsia="Arial" w:hAnsi="Arial"/>
          <w:color w:val="444441"/>
          <w:sz w:val="26"/>
          <w:szCs w:val="26"/>
        </w:rPr>
        <w:t xml:space="preserve">Moderne Systemlandschaft — Architekturvarianten, Evolutionspfad und strategische Leitlinien</w:t>
      </w:r>
    </w:p>
    <w:p>
      <w:pPr>
        <w:pBdr>
          <w:top w:val="single" w:color="1D9E75" w:sz="6"/>
        </w:pBdr>
        <w:spacing w:after="0" w:before="80"/>
      </w:pPr>
      <w:r>
        <w:rPr>
          <w:rFonts w:ascii="Arial" w:cs="Arial" w:eastAsia="Arial" w:hAnsi="Arial"/>
          <w:color w:val="444441"/>
          <w:sz w:val="20"/>
          <w:szCs w:val="20"/>
        </w:rPr>
        <w:t xml:space="preserve">Business Transformation · Workshop-Dokumentation · Juni 2026</w:t>
      </w:r>
    </w:p>
    <w:p>
      <w:r>
        <w:br w:type="page"/>
      </w:r>
    </w:p>
    <w:sdt>
      <w:sdtPr>
        <w:alias w:val="Inhaltsverzeichni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1. Ausgangslage und Rahmen</w:t>
      </w:r>
    </w:p>
    <w:p>
      <w:pPr>
        <w:spacing w:after="120" w:before="0"/>
      </w:pPr>
      <w:r>
        <w:rPr>
          <w:rFonts w:ascii="Arial" w:cs="Arial" w:eastAsia="Arial" w:hAnsi="Arial"/>
          <w:color w:val="1A1A18"/>
          <w:sz w:val="22"/>
          <w:szCs w:val="22"/>
        </w:rPr>
        <w:t xml:space="preserve">Die heutige Systemlandschaft der Firma ist historisch gewachsen und weist strukturelle Schwächen auf, die eine schrittweise Modernisierung erfordern. Ziel ist nicht ein Big-Bang-Wechsel, sondern eine evolutionäre Transformation hin zu einer offenen, ereignisgetriebenen und KI-fähigen Versicherungsplattform.</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1.1 Gesetzte Systeme</w:t>
      </w:r>
    </w:p>
    <w:p>
      <w:pPr>
        <w:pStyle w:val="Heading3"/>
        <w:spacing w:after="80" w:before="200"/>
      </w:pPr>
      <w:r>
        <w:rPr>
          <w:rFonts w:ascii="Arial" w:cs="Arial" w:eastAsia="Arial" w:hAnsi="Arial"/>
          <w:b/>
          <w:bCs/>
          <w:color w:val="444441"/>
          <w:sz w:val="22"/>
          <w:szCs w:val="22"/>
        </w:rPr>
        <w:t xml:space="preserve">Kernsysteme (System of Record)</w:t>
      </w:r>
    </w:p>
    <w:p>
      <w:pPr>
        <w:pBdr>
          <w:left w:val="single" w:color="1D9E75" w:sz="12"/>
        </w:pBdr>
        <w:shd w:fill="E1F5EE" w:val="clear"/>
        <w:spacing w:after="140" w:before="140"/>
        <w:ind w:left="280" w:right="280"/>
      </w:pPr>
      <w:r>
        <w:rPr>
          <w:rFonts w:ascii="Arial" w:cs="Arial" w:eastAsia="Arial" w:hAnsi="Arial"/>
          <w:i/>
          <w:iCs/>
          <w:color w:val="1A1A18"/>
          <w:sz w:val="20"/>
          <w:szCs w:val="20"/>
        </w:rPr>
        <w:t xml:space="preserve">Jedes System ist ausschließlich für seine fachliche Domäne verantwortlich. Diese Aufteilung ist nicht verhandelbar und bildet das Fundament der gesamten Zielarchitektur.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System</w:t>
            </w:r>
          </w:p>
        </w:tc>
        <w:tc>
          <w:tcPr>
            <w:tcW w:type="dxa" w:w="2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Fachliche Domäne (führend)</w:t>
            </w:r>
          </w:p>
        </w:tc>
        <w:tc>
          <w:tcPr>
            <w:tcW w:type="dxa" w:w="496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Inhalt</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AS/400 (IBM Power i)</w:t>
            </w:r>
          </w:p>
        </w:tc>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Nicht-Leben-Versicherungen</w:t>
            </w:r>
          </w:p>
        </w:tc>
        <w:tc>
          <w:tcPr>
            <w:tcW w:type="dxa" w:w="49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Policen NL · Bestand · Prämien · Schäden NL · Beitragsdaten · operative Prozesse NL</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Oracle 11g via msg-Life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Leben-Versicherungen</w:t>
            </w:r>
          </w:p>
        </w:tc>
        <w:tc>
          <w:tcPr>
            <w:tcW w:type="dxa" w:w="49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Policen L · Neugeschäft · Bestand L · Verträge Leben · msg-Life-Geschäftslogik</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Cobra CRM</w:t>
            </w:r>
          </w:p>
        </w:tc>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Makler / Partner</w:t>
            </w:r>
          </w:p>
        </w:tc>
        <w:tc>
          <w:tcPr>
            <w:tcW w:type="dxa" w:w="496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Maklerregister · IHK-Status · Provisionssätze · Kontaktdaten · Vertriebssteuerung</w:t>
            </w:r>
          </w:p>
        </w:tc>
      </w:tr>
    </w:tbl>
    <w:p>
      <w:pPr>
        <w:spacing w:after="80" w:before="0"/>
      </w:pPr>
      <w:r>
        <w:t xml:space="preserve"/>
      </w:r>
    </w:p>
    <w:p>
      <w:pPr>
        <w:pBdr>
          <w:left w:val="single" w:color="534AB7" w:sz="12"/>
        </w:pBdr>
        <w:shd w:fill="EEEDFE" w:val="clear"/>
        <w:spacing w:after="140" w:before="140"/>
        <w:ind w:left="280" w:right="280"/>
      </w:pPr>
      <w:r>
        <w:rPr>
          <w:rFonts w:ascii="Arial" w:cs="Arial" w:eastAsia="Arial" w:hAnsi="Arial"/>
          <w:i/>
          <w:iCs/>
          <w:color w:val="1A1A18"/>
          <w:sz w:val="20"/>
          <w:szCs w:val="20"/>
        </w:rPr>
        <w:t xml:space="preserve">Wichtige Klarstellung: Cobra ist ausschließlich führendes System für Maklerdaten — nicht für Policen, Prämien oder sonstige Versicherungsdaten. AS/400 bleibt System of Record für Nicht-Leben, Oracle für Leben.</w:t>
      </w:r>
    </w:p>
    <w:p>
      <w:pPr>
        <w:spacing w:after="80" w:before="0"/>
      </w:pPr>
      <w:r>
        <w:t xml:space="preserve"/>
      </w:r>
    </w:p>
    <w:p>
      <w:pPr>
        <w:pStyle w:val="Heading3"/>
        <w:spacing w:after="80" w:before="200"/>
      </w:pPr>
      <w:r>
        <w:rPr>
          <w:rFonts w:ascii="Arial" w:cs="Arial" w:eastAsia="Arial" w:hAnsi="Arial"/>
          <w:b/>
          <w:bCs/>
          <w:color w:val="444441"/>
          <w:sz w:val="22"/>
          <w:szCs w:val="22"/>
        </w:rPr>
        <w:t xml:space="preserve">Weitere operative Systeme</w:t>
      </w:r>
    </w:p>
    <w:p>
      <w:pPr>
        <w:pStyle w:val="ListParagraph"/>
        <w:numPr>
          <w:ilvl w:val="0"/>
          <w:numId w:val="2"/>
        </w:numPr>
        <w:spacing w:after="60" w:before="0"/>
      </w:pPr>
      <w:r>
        <w:rPr>
          <w:rFonts w:ascii="Arial" w:cs="Arial" w:eastAsia="Arial" w:hAnsi="Arial"/>
          <w:color w:val="1A1A18"/>
          <w:sz w:val="22"/>
          <w:szCs w:val="22"/>
        </w:rPr>
        <w:t xml:space="preserve">M/Text — Drucksystem (Briefe, Policendokumente, Mahnung); bisher direkt von AS/400 gesteuert</w:t>
      </w:r>
    </w:p>
    <w:p>
      <w:pPr>
        <w:pStyle w:val="ListParagraph"/>
        <w:numPr>
          <w:ilvl w:val="0"/>
          <w:numId w:val="2"/>
        </w:numPr>
        <w:spacing w:after="60" w:before="0"/>
      </w:pPr>
      <w:r>
        <w:rPr>
          <w:rFonts w:ascii="Arial" w:cs="Arial" w:eastAsia="Arial" w:hAnsi="Arial"/>
          <w:color w:val="1A1A18"/>
          <w:sz w:val="22"/>
          <w:szCs w:val="22"/>
        </w:rPr>
        <w:t xml:space="preserve">X4-Server / BiPRO — Makler-Kommunikationsserver; empfängt BiPRO-Anfragen, liefert Bestands- und Vertragsdaten</w:t>
      </w:r>
    </w:p>
    <w:p>
      <w:pPr>
        <w:pStyle w:val="ListParagraph"/>
        <w:numPr>
          <w:ilvl w:val="0"/>
          <w:numId w:val="2"/>
        </w:numPr>
        <w:spacing w:after="60" w:before="0"/>
      </w:pPr>
      <w:r>
        <w:rPr>
          <w:rFonts w:ascii="Arial" w:cs="Arial" w:eastAsia="Arial" w:hAnsi="Arial"/>
          <w:color w:val="1A1A18"/>
          <w:sz w:val="22"/>
          <w:szCs w:val="22"/>
        </w:rPr>
        <w:t xml:space="preserve">Inputmanagement-System — zentraler Posteingang, Dokumentenerfassung, OCR-Verarbeitung</w:t>
      </w:r>
    </w:p>
    <w:p>
      <w:pPr>
        <w:pStyle w:val="ListParagraph"/>
        <w:numPr>
          <w:ilvl w:val="0"/>
          <w:numId w:val="2"/>
        </w:numPr>
        <w:spacing w:after="60" w:before="0"/>
      </w:pPr>
      <w:r>
        <w:rPr>
          <w:rFonts w:ascii="Arial" w:cs="Arial" w:eastAsia="Arial" w:hAnsi="Arial"/>
          <w:color w:val="1A1A18"/>
          <w:sz w:val="22"/>
          <w:szCs w:val="22"/>
        </w:rPr>
        <w:t xml:space="preserve">Extranet inkl. GDV-Daten — Makler-Webportal (wird durch Kundenportal abgelöst)</w:t>
      </w:r>
    </w:p>
    <w:p>
      <w:pPr>
        <w:spacing w:after="80" w:before="0"/>
      </w:pPr>
      <w:r>
        <w:t xml:space="preserve"/>
      </w:r>
    </w:p>
    <w:p>
      <w:pPr>
        <w:pStyle w:val="Heading3"/>
        <w:spacing w:after="80" w:before="200"/>
      </w:pPr>
      <w:r>
        <w:rPr>
          <w:rFonts w:ascii="Arial" w:cs="Arial" w:eastAsia="Arial" w:hAnsi="Arial"/>
          <w:b/>
          <w:bCs/>
          <w:color w:val="444441"/>
          <w:sz w:val="22"/>
          <w:szCs w:val="22"/>
        </w:rPr>
        <w:t xml:space="preserve">Externe Dienste</w:t>
      </w:r>
    </w:p>
    <w:p>
      <w:pPr>
        <w:pStyle w:val="ListParagraph"/>
        <w:numPr>
          <w:ilvl w:val="0"/>
          <w:numId w:val="2"/>
        </w:numPr>
        <w:spacing w:after="60" w:before="0"/>
      </w:pPr>
      <w:r>
        <w:rPr>
          <w:rFonts w:ascii="Arial" w:cs="Arial" w:eastAsia="Arial" w:hAnsi="Arial"/>
          <w:color w:val="1A1A18"/>
          <w:sz w:val="22"/>
          <w:szCs w:val="22"/>
        </w:rPr>
        <w:t xml:space="preserve">IHK — Prüfung von Makler-Registrierungsnummern</w:t>
      </w:r>
    </w:p>
    <w:p>
      <w:pPr>
        <w:pStyle w:val="ListParagraph"/>
        <w:numPr>
          <w:ilvl w:val="0"/>
          <w:numId w:val="2"/>
        </w:numPr>
        <w:spacing w:after="60" w:before="0"/>
      </w:pPr>
      <w:r>
        <w:rPr>
          <w:rFonts w:ascii="Arial" w:cs="Arial" w:eastAsia="Arial" w:hAnsi="Arial"/>
          <w:color w:val="1A1A18"/>
          <w:sz w:val="22"/>
          <w:szCs w:val="22"/>
        </w:rPr>
        <w:t xml:space="preserve">ABIS — Adressprüfung und -normalisierung</w:t>
      </w:r>
    </w:p>
    <w:p>
      <w:pPr>
        <w:pStyle w:val="ListParagraph"/>
        <w:numPr>
          <w:ilvl w:val="0"/>
          <w:numId w:val="2"/>
        </w:numPr>
        <w:spacing w:after="60" w:before="0"/>
      </w:pPr>
      <w:r>
        <w:rPr>
          <w:rFonts w:ascii="Arial" w:cs="Arial" w:eastAsia="Arial" w:hAnsi="Arial"/>
          <w:color w:val="1A1A18"/>
          <w:sz w:val="22"/>
          <w:szCs w:val="22"/>
        </w:rPr>
        <w:t xml:space="preserve">ZürsGeo — Zonierungsdaten für Naturgefahren (Hochwasser, Überschwemmung)</w:t>
      </w:r>
    </w:p>
    <w:p>
      <w:pPr>
        <w:pStyle w:val="ListParagraph"/>
        <w:numPr>
          <w:ilvl w:val="0"/>
          <w:numId w:val="2"/>
        </w:numPr>
        <w:spacing w:after="60" w:before="0"/>
      </w:pPr>
      <w:r>
        <w:rPr>
          <w:rFonts w:ascii="Arial" w:cs="Arial" w:eastAsia="Arial" w:hAnsi="Arial"/>
          <w:color w:val="1A1A18"/>
          <w:sz w:val="22"/>
          <w:szCs w:val="22"/>
        </w:rPr>
        <w:t xml:space="preserve">GDV-Datenaustausch — Branchendaten, Schadenspool-Kommunikation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1.2 Analytische Plattform (im Aufbau)</w:t>
      </w:r>
    </w:p>
    <w:p>
      <w:pPr>
        <w:spacing w:after="120" w:before="0"/>
      </w:pPr>
      <w:r>
        <w:rPr>
          <w:rFonts w:ascii="Arial" w:cs="Arial" w:eastAsia="Arial" w:hAnsi="Arial"/>
          <w:color w:val="1A1A18"/>
          <w:sz w:val="22"/>
          <w:szCs w:val="22"/>
        </w:rPr>
        <w:t xml:space="preserve">Die dispDB (dispositive Datenbank) ist die analytische Plattform der Firma. Sie ist rein lesend — es gibt keinen Schreibpfad vom Kundenportal oder von externen Systemen über die dispDB in operative Kernsysteme.</w:t>
      </w:r>
    </w:p>
    <w:p>
      <w:pPr>
        <w:spacing w:after="80" w:before="0"/>
      </w:pPr>
      <w:r>
        <w:t xml:space="preserve"/>
      </w:r>
    </w:p>
    <w:p>
      <w:pPr>
        <w:pStyle w:val="ListParagraph"/>
        <w:numPr>
          <w:ilvl w:val="0"/>
          <w:numId w:val="2"/>
        </w:numPr>
        <w:spacing w:after="60" w:before="0"/>
      </w:pPr>
      <w:r>
        <w:rPr>
          <w:rFonts w:ascii="Arial" w:cs="Arial" w:eastAsia="Arial" w:hAnsi="Arial"/>
          <w:color w:val="1A1A18"/>
          <w:sz w:val="22"/>
          <w:szCs w:val="22"/>
        </w:rPr>
        <w:t xml:space="preserve">MS Fabric — Data Factory, Power BI, Purview, Sensitivity Labels, OneLake</w:t>
      </w:r>
    </w:p>
    <w:p>
      <w:pPr>
        <w:pStyle w:val="ListParagraph"/>
        <w:numPr>
          <w:ilvl w:val="0"/>
          <w:numId w:val="2"/>
        </w:numPr>
        <w:spacing w:after="60" w:before="0"/>
      </w:pPr>
      <w:r>
        <w:rPr>
          <w:rFonts w:ascii="Arial" w:cs="Arial" w:eastAsia="Arial" w:hAnsi="Arial"/>
          <w:color w:val="1A1A18"/>
          <w:sz w:val="22"/>
          <w:szCs w:val="22"/>
        </w:rPr>
        <w:t xml:space="preserve">Databricks on Azure — Unity Catalog, Delta Lake, Medallion-Architektur (Bronze → Silver → Gold)</w:t>
      </w:r>
    </w:p>
    <w:p>
      <w:pPr>
        <w:pStyle w:val="ListParagraph"/>
        <w:numPr>
          <w:ilvl w:val="0"/>
          <w:numId w:val="2"/>
        </w:numPr>
        <w:spacing w:after="60" w:before="0"/>
      </w:pPr>
      <w:r>
        <w:rPr>
          <w:rFonts w:ascii="Arial" w:cs="Arial" w:eastAsia="Arial" w:hAnsi="Arial"/>
          <w:color w:val="1A1A18"/>
          <w:sz w:val="22"/>
          <w:szCs w:val="22"/>
        </w:rPr>
        <w:t xml:space="preserve">ADLS Gen2 — zentraler Storage-Layer</w:t>
      </w:r>
    </w:p>
    <w:p>
      <w:pPr>
        <w:pStyle w:val="ListParagraph"/>
        <w:numPr>
          <w:ilvl w:val="0"/>
          <w:numId w:val="2"/>
        </w:numPr>
        <w:spacing w:after="60" w:before="0"/>
      </w:pPr>
      <w:r>
        <w:rPr>
          <w:rFonts w:ascii="Arial" w:cs="Arial" w:eastAsia="Arial" w:hAnsi="Arial"/>
          <w:color w:val="1A1A18"/>
          <w:sz w:val="22"/>
          <w:szCs w:val="22"/>
        </w:rPr>
        <w:t xml:space="preserve">Regulierung — DORA (seit Jan. 2025), BaFin/VAIT, DSGVO</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1.3 Das Kernproblem der heutigen Architektur</w:t>
      </w:r>
    </w:p>
    <w:p>
      <w:pPr>
        <w:pBdr>
          <w:left w:val="single" w:color="993C1D" w:sz="12"/>
        </w:pBdr>
        <w:shd w:fill="FAECE7" w:val="clear"/>
        <w:spacing w:after="140" w:before="140"/>
        <w:ind w:left="280" w:right="280"/>
      </w:pPr>
      <w:r>
        <w:rPr>
          <w:rFonts w:ascii="Arial" w:cs="Arial" w:eastAsia="Arial" w:hAnsi="Arial"/>
          <w:i/>
          <w:iCs/>
          <w:color w:val="1A1A18"/>
          <w:sz w:val="20"/>
          <w:szCs w:val="20"/>
        </w:rPr>
        <w:t xml:space="preserve">Die AS/400 hat historisch die Rolle einer zentralen Prozesssteuerung übernommen, die weit über ihre ursprüngliche Bestimmung als Transaktionssystem hinausgeht. Sie beliefert Cobra per CSV-Export, steuert M/Text direkt, und ist an BiPRO angeschlossen — alles Aufgaben, die fachlich anderen Systemen gehören.</w:t>
      </w:r>
    </w:p>
    <w:p>
      <w:pPr>
        <w:spacing w:after="80" w:before="0"/>
      </w:pPr>
      <w:r>
        <w:t xml:space="preserve"/>
      </w:r>
    </w:p>
    <w:p>
      <w:pPr>
        <w:pStyle w:val="ListParagraph"/>
        <w:numPr>
          <w:ilvl w:val="0"/>
          <w:numId w:val="2"/>
        </w:numPr>
        <w:spacing w:after="60" w:before="0"/>
      </w:pPr>
      <w:r>
        <w:rPr>
          <w:rFonts w:ascii="Arial" w:cs="Arial" w:eastAsia="Arial" w:hAnsi="Arial"/>
          <w:color w:val="1A1A18"/>
          <w:sz w:val="22"/>
          <w:szCs w:val="22"/>
        </w:rPr>
        <w:t xml:space="preserve">CSV-Exporte aus AS/400 → Cobra: manuell, fehleranfällig, zeitverzögert, kein Audit-Trail</w:t>
      </w:r>
    </w:p>
    <w:p>
      <w:pPr>
        <w:pStyle w:val="ListParagraph"/>
        <w:numPr>
          <w:ilvl w:val="0"/>
          <w:numId w:val="2"/>
        </w:numPr>
        <w:spacing w:after="60" w:before="0"/>
      </w:pPr>
      <w:r>
        <w:rPr>
          <w:rFonts w:ascii="Arial" w:cs="Arial" w:eastAsia="Arial" w:hAnsi="Arial"/>
          <w:color w:val="1A1A18"/>
          <w:sz w:val="22"/>
          <w:szCs w:val="22"/>
        </w:rPr>
        <w:t xml:space="preserve">Kein einheitlicher API-Layer: jede Integration ist eine Sonderlösung</w:t>
      </w:r>
    </w:p>
    <w:p>
      <w:pPr>
        <w:pStyle w:val="ListParagraph"/>
        <w:numPr>
          <w:ilvl w:val="0"/>
          <w:numId w:val="2"/>
        </w:numPr>
        <w:spacing w:after="60" w:before="0"/>
      </w:pPr>
      <w:r>
        <w:rPr>
          <w:rFonts w:ascii="Arial" w:cs="Arial" w:eastAsia="Arial" w:hAnsi="Arial"/>
          <w:color w:val="1A1A18"/>
          <w:sz w:val="22"/>
          <w:szCs w:val="22"/>
        </w:rPr>
        <w:t xml:space="preserve">Kopfmonopol-Risiko: AS/400-Wissen konzentriert auf wenige Personen</w:t>
      </w:r>
    </w:p>
    <w:p>
      <w:pPr>
        <w:pStyle w:val="ListParagraph"/>
        <w:numPr>
          <w:ilvl w:val="0"/>
          <w:numId w:val="2"/>
        </w:numPr>
        <w:spacing w:after="60" w:before="0"/>
      </w:pPr>
      <w:r>
        <w:rPr>
          <w:rFonts w:ascii="Arial" w:cs="Arial" w:eastAsia="Arial" w:hAnsi="Arial"/>
          <w:color w:val="1A1A18"/>
          <w:sz w:val="22"/>
          <w:szCs w:val="22"/>
        </w:rPr>
        <w:t xml:space="preserve">Keine Echtzeit-Daten: Cobra-Maklerstand immer mit Verzug</w:t>
      </w:r>
    </w:p>
    <w:p>
      <w:pPr>
        <w:pStyle w:val="ListParagraph"/>
        <w:numPr>
          <w:ilvl w:val="0"/>
          <w:numId w:val="2"/>
        </w:numPr>
        <w:spacing w:after="60" w:before="0"/>
      </w:pPr>
      <w:r>
        <w:rPr>
          <w:rFonts w:ascii="Arial" w:cs="Arial" w:eastAsia="Arial" w:hAnsi="Arial"/>
          <w:color w:val="1A1A18"/>
          <w:sz w:val="22"/>
          <w:szCs w:val="22"/>
        </w:rPr>
        <w:t xml:space="preserve">Skalierbarkeit: jede neue Anforderung erfordert AS/400-Eingriff</w:t>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2. System-of-Record-Modell und Führungsprinzip</w:t>
      </w:r>
    </w:p>
    <w:p>
      <w:pPr>
        <w:spacing w:after="120" w:before="0"/>
      </w:pPr>
      <w:r>
        <w:rPr>
          <w:rFonts w:ascii="Arial" w:cs="Arial" w:eastAsia="Arial" w:hAnsi="Arial"/>
          <w:color w:val="1A1A18"/>
          <w:sz w:val="22"/>
          <w:szCs w:val="22"/>
        </w:rPr>
        <w:t xml:space="preserve">Das Führungsprinzip legt fest, welches System die verbindliche Wahrheit für eine fachliche Domäne hält. Kein anderes System darf in diese Domäne schreiben, ohne über den autorisierten Kanal des führenden Systems zu gehen.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2.1 Die drei Systems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System</w:t>
            </w:r>
          </w:p>
        </w:tc>
        <w:tc>
          <w:tcPr>
            <w:tcW w:type="dxa" w:w="25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Führt für</w:t>
            </w:r>
          </w:p>
        </w:tc>
        <w:tc>
          <w:tcPr>
            <w:tcW w:type="dxa" w:w="21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Schreibrecht</w:t>
            </w:r>
          </w:p>
        </w:tc>
        <w:tc>
          <w:tcPr>
            <w:tcW w:type="dxa" w:w="21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Liest aus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AS/400</w:t>
            </w:r>
          </w:p>
        </w:tc>
        <w:tc>
          <w:tcPr>
            <w:tcW w:type="dxa" w:w="25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Nicht-Leben-Policen, Prämien, Schäden NL, Bestand NL</w:t>
            </w:r>
          </w:p>
        </w:tc>
        <w:tc>
          <w:tcPr>
            <w:tcW w:type="dxa" w:w="21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Exklusiv für NL-Domäne</w:t>
            </w:r>
          </w:p>
        </w:tc>
        <w:tc>
          <w:tcPr>
            <w:tcW w:type="dxa" w:w="21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Eigene DB; empfängt Commands via Adapter</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Oracle / msg-Life</w:t>
            </w:r>
          </w:p>
        </w:tc>
        <w:tc>
          <w:tcPr>
            <w:tcW w:type="dxa" w:w="25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Leben-Policen, Neugeschäft, Bestand L</w:t>
            </w:r>
          </w:p>
        </w:tc>
        <w:tc>
          <w:tcPr>
            <w:tcW w:type="dxa" w:w="21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Exklusiv für L-Domäne</w:t>
            </w:r>
          </w:p>
        </w:tc>
        <w:tc>
          <w:tcPr>
            <w:tcW w:type="dxa" w:w="21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msg-Life-DB; empfängt Commands via JDBC-Adapter</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Cobra CRM</w:t>
            </w:r>
          </w:p>
        </w:tc>
        <w:tc>
          <w:tcPr>
            <w:tcW w:type="dxa" w:w="25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Maklerregister, IHK-Status, Provision</w:t>
            </w:r>
          </w:p>
        </w:tc>
        <w:tc>
          <w:tcPr>
            <w:tcW w:type="dxa" w:w="21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Exklusiv für Maklerdaten</w:t>
            </w:r>
          </w:p>
        </w:tc>
        <w:tc>
          <w:tcPr>
            <w:tcW w:type="dxa" w:w="21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Eigene CRM-DB; REST-API nach außen</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2.2 Die Umkehrung der AS/400-Abhängigkeit</w:t>
      </w:r>
    </w:p>
    <w:p>
      <w:pPr>
        <w:spacing w:after="120" w:before="0"/>
      </w:pPr>
      <w:r>
        <w:rPr>
          <w:rFonts w:ascii="Arial" w:cs="Arial" w:eastAsia="Arial" w:hAnsi="Arial"/>
          <w:color w:val="1A1A18"/>
          <w:sz w:val="22"/>
          <w:szCs w:val="22"/>
        </w:rPr>
        <w:t xml:space="preserve">Das strategische Ziel ist die Umkehrung der Datenflussrichtung: Heute bestimmt die AS/400 durch CSV-Exporte, was Cobra weiß. Morgen empfängt die AS/400 ihre Aufträge über einen definierten API-Layer und publiziert ihre Zustandsänderungen als Events auf den zentralen Bus.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Heute</w:t>
            </w:r>
          </w:p>
        </w:tc>
        <w:tc>
          <w:tcPr>
            <w:tcW w:type="dxa" w:w="4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Ziel</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 exportiert CSV → Cobra importiert manuell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Cobra liest Policen via APIM-API (AS/400-Adapter)</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 steuert M/Text direkt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M/Text empfängt Druckaufträge als Events vom Bus</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 liefert Daten an X4/BiPRO direkt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X4/BiPRO konsumiert policy.nl.events vom Bus</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Keine Versionierung, kein Audit-Trail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Alle Events im Service Bus: vollständiger Audit-Trail</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Kopfmonopol AS/400-Wissen</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Anti-Corruption-Adapter kapselt AS/400-Eigenheiten</w:t>
            </w:r>
          </w:p>
        </w:tc>
      </w:tr>
    </w:tbl>
    <w:p>
      <w:pPr>
        <w:spacing w:after="80" w:before="0"/>
      </w:pPr>
      <w:r>
        <w:t xml:space="preserve"/>
      </w:r>
    </w:p>
    <w:p>
      <w:pPr>
        <w:pBdr>
          <w:left w:val="single" w:color="1D9E75" w:sz="12"/>
        </w:pBdr>
        <w:shd w:fill="E1F5EE" w:val="clear"/>
        <w:spacing w:after="140" w:before="140"/>
        <w:ind w:left="280" w:right="280"/>
      </w:pPr>
      <w:r>
        <w:rPr>
          <w:rFonts w:ascii="Arial" w:cs="Arial" w:eastAsia="Arial" w:hAnsi="Arial"/>
          <w:i/>
          <w:iCs/>
          <w:color w:val="1A1A18"/>
          <w:sz w:val="20"/>
          <w:szCs w:val="20"/>
        </w:rPr>
        <w:t xml:space="preserve">Die AS/400 bleibt System of Record für Nicht-Leben — sie wird nicht abgelöst, sondern gekapselt. Der Anti-Corruption-Adapter übersetzt zwischen der modernen Event-Welt und den AS/400-eigenen ODBC/RPG-Schnittstellen.</w:t>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3. Architektur 1 — Composable Insurance</w:t>
      </w:r>
    </w:p>
    <w:p>
      <w:pPr>
        <w:spacing w:after="120" w:before="0"/>
      </w:pPr>
      <w:r>
        <w:rPr>
          <w:rFonts w:ascii="Arial" w:cs="Arial" w:eastAsia="Arial" w:hAnsi="Arial"/>
          <w:color w:val="1A1A18"/>
          <w:sz w:val="22"/>
          <w:szCs w:val="22"/>
        </w:rPr>
        <w:t xml:space="preserve">Architektur 1 ist der Industriestandard für die Versicherungsmodernisierung 2024/25. Fachlich geschnittene Domain-Services, verbunden über einen zentralen Event Bus (Azure Service Bus), mit einem einheitlichen API-Gateway als einziger Außenfassade. Bewährt bei europäischen Versicherern wie Baloise, Element und Zurich.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1"/>
              <w:left w:val="single" w:color="1D9E75" w:sz="18"/>
              <w:bottom w:val="single" w:color="D3D1C7" w:sz="1"/>
              <w:right w:val="single" w:color="D3D1C7" w:sz="1"/>
            </w:tcBorders>
            <w:shd w:fill="E1F5EE" w:val="clear"/>
            <w:tcMar>
              <w:top w:type="dxa" w:w="100"/>
              <w:left w:type="dxa" w:w="160"/>
              <w:bottom w:type="dxa" w:w="100"/>
              <w:right w:type="dxa" w:w="160"/>
            </w:tcMar>
          </w:tcPr>
          <w:p>
            <w:pPr>
              <w:spacing w:after="60" w:before="0"/>
            </w:pPr>
            <w:r>
              <w:rPr>
                <w:rFonts w:ascii="Arial" w:cs="Arial" w:eastAsia="Arial" w:hAnsi="Arial"/>
                <w:b/>
                <w:bCs/>
                <w:color w:val="1D9E75"/>
                <w:sz w:val="20"/>
                <w:szCs w:val="20"/>
              </w:rPr>
              <w:t xml:space="preserve">Empfehlung: Etappenziel (2–3 Jahre)</w:t>
            </w:r>
          </w:p>
          <w:p>
            <w:r>
              <w:rPr>
                <w:rFonts w:ascii="Arial" w:cs="Arial" w:eastAsia="Arial" w:hAnsi="Arial"/>
                <w:color w:val="1A1A18"/>
                <w:sz w:val="20"/>
                <w:szCs w:val="20"/>
              </w:rPr>
              <w:t xml:space="preserve">Realistischer Einstieg, BaFin-tauglich, Azure-Stack konsistent. Schrittweise Ablösung von Legacy möglich ohne Big Bang.</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3.1 Schichtenmodell</w:t>
      </w:r>
    </w:p>
    <w:p>
      <w:pPr>
        <w:pStyle w:val="Heading3"/>
        <w:spacing w:after="80" w:before="200"/>
      </w:pPr>
      <w:r>
        <w:rPr>
          <w:rFonts w:ascii="Arial" w:cs="Arial" w:eastAsia="Arial" w:hAnsi="Arial"/>
          <w:b/>
          <w:bCs/>
          <w:color w:val="444441"/>
          <w:sz w:val="22"/>
          <w:szCs w:val="22"/>
        </w:rPr>
        <w:t xml:space="preserve">Schicht 1 — Engagement (Konsumenten)</w:t>
      </w:r>
    </w:p>
    <w:p>
      <w:pPr>
        <w:pStyle w:val="ListParagraph"/>
        <w:numPr>
          <w:ilvl w:val="0"/>
          <w:numId w:val="2"/>
        </w:numPr>
        <w:spacing w:after="60" w:before="0"/>
      </w:pPr>
      <w:r>
        <w:rPr>
          <w:rFonts w:ascii="Arial" w:cs="Arial" w:eastAsia="Arial" w:hAnsi="Arial"/>
          <w:color w:val="1A1A18"/>
          <w:sz w:val="22"/>
          <w:szCs w:val="22"/>
        </w:rPr>
        <w:t xml:space="preserve">Kundenportal (Web + Mobile) — Direkt- und Maklerkunden; liest/schreibt nur über APIM</w:t>
      </w:r>
    </w:p>
    <w:p>
      <w:pPr>
        <w:pStyle w:val="ListParagraph"/>
        <w:numPr>
          <w:ilvl w:val="0"/>
          <w:numId w:val="2"/>
        </w:numPr>
        <w:spacing w:after="60" w:before="0"/>
      </w:pPr>
      <w:r>
        <w:rPr>
          <w:rFonts w:ascii="Arial" w:cs="Arial" w:eastAsia="Arial" w:hAnsi="Arial"/>
          <w:color w:val="1A1A18"/>
          <w:sz w:val="22"/>
          <w:szCs w:val="22"/>
        </w:rPr>
        <w:t xml:space="preserve">Sachbearbeiter-Frontend — internes Tool; vollständiger Zugriff via APIM mit erweiterter Autorisierung</w:t>
      </w:r>
    </w:p>
    <w:p>
      <w:pPr>
        <w:pStyle w:val="ListParagraph"/>
        <w:numPr>
          <w:ilvl w:val="0"/>
          <w:numId w:val="2"/>
        </w:numPr>
        <w:spacing w:after="60" w:before="0"/>
      </w:pPr>
      <w:r>
        <w:rPr>
          <w:rFonts w:ascii="Arial" w:cs="Arial" w:eastAsia="Arial" w:hAnsi="Arial"/>
          <w:color w:val="1A1A18"/>
          <w:sz w:val="22"/>
          <w:szCs w:val="22"/>
        </w:rPr>
        <w:t xml:space="preserve">X4-Server / BiPRO — Makler-Kommunikationsserver; konsumiert partner.events + policy.nl.events</w:t>
      </w:r>
    </w:p>
    <w:p>
      <w:pPr>
        <w:pStyle w:val="ListParagraph"/>
        <w:numPr>
          <w:ilvl w:val="0"/>
          <w:numId w:val="2"/>
        </w:numPr>
        <w:spacing w:after="60" w:before="0"/>
      </w:pPr>
      <w:r>
        <w:rPr>
          <w:rFonts w:ascii="Arial" w:cs="Arial" w:eastAsia="Arial" w:hAnsi="Arial"/>
          <w:color w:val="1A1A18"/>
          <w:sz w:val="22"/>
          <w:szCs w:val="22"/>
        </w:rPr>
        <w:t xml:space="preserve">M/Text — Drucksystem; empfängt document.print.events statt direkter AS/400-Steuerung</w:t>
      </w:r>
    </w:p>
    <w:p>
      <w:pPr>
        <w:spacing w:after="80" w:before="0"/>
      </w:pPr>
      <w:r>
        <w:t xml:space="preserve"/>
      </w:r>
    </w:p>
    <w:p>
      <w:pPr>
        <w:pStyle w:val="Heading3"/>
        <w:spacing w:after="80" w:before="200"/>
      </w:pPr>
      <w:r>
        <w:rPr>
          <w:rFonts w:ascii="Arial" w:cs="Arial" w:eastAsia="Arial" w:hAnsi="Arial"/>
          <w:b/>
          <w:bCs/>
          <w:color w:val="444441"/>
          <w:sz w:val="22"/>
          <w:szCs w:val="22"/>
        </w:rPr>
        <w:t xml:space="preserve">Schicht 2 — API-Gateway (Azure API Management)</w:t>
      </w:r>
    </w:p>
    <w:p>
      <w:pPr>
        <w:spacing w:after="120" w:before="0"/>
      </w:pPr>
      <w:r>
        <w:rPr>
          <w:rFonts w:ascii="Arial" w:cs="Arial" w:eastAsia="Arial" w:hAnsi="Arial"/>
          <w:color w:val="1A1A18"/>
          <w:sz w:val="22"/>
          <w:szCs w:val="22"/>
        </w:rPr>
        <w:t xml:space="preserve">Azure APIM ist die einzige Außenfassade — kein System kommuniziert direkt mit einem Domain-Service oder Kernsystem. APIM übernimmt:</w:t>
      </w:r>
    </w:p>
    <w:p>
      <w:pPr>
        <w:pStyle w:val="ListParagraph"/>
        <w:numPr>
          <w:ilvl w:val="0"/>
          <w:numId w:val="2"/>
        </w:numPr>
        <w:spacing w:after="60" w:before="0"/>
      </w:pPr>
      <w:r>
        <w:rPr>
          <w:rFonts w:ascii="Arial" w:cs="Arial" w:eastAsia="Arial" w:hAnsi="Arial"/>
          <w:color w:val="1A1A18"/>
          <w:sz w:val="22"/>
          <w:szCs w:val="22"/>
        </w:rPr>
        <w:t xml:space="preserve">Authentifizierung und Autorisierung (OAuth2/OIDC, Entra ID)</w:t>
      </w:r>
    </w:p>
    <w:p>
      <w:pPr>
        <w:pStyle w:val="ListParagraph"/>
        <w:numPr>
          <w:ilvl w:val="0"/>
          <w:numId w:val="2"/>
        </w:numPr>
        <w:spacing w:after="60" w:before="0"/>
      </w:pPr>
      <w:r>
        <w:rPr>
          <w:rFonts w:ascii="Arial" w:cs="Arial" w:eastAsia="Arial" w:hAnsi="Arial"/>
          <w:color w:val="1A1A18"/>
          <w:sz w:val="22"/>
          <w:szCs w:val="22"/>
        </w:rPr>
        <w:t xml:space="preserve">Rate Limiting und Quota-Management (DORA: Verfügbarkeitsnachweis)</w:t>
      </w:r>
    </w:p>
    <w:p>
      <w:pPr>
        <w:pStyle w:val="ListParagraph"/>
        <w:numPr>
          <w:ilvl w:val="0"/>
          <w:numId w:val="2"/>
        </w:numPr>
        <w:spacing w:after="60" w:before="0"/>
      </w:pPr>
      <w:r>
        <w:rPr>
          <w:rFonts w:ascii="Arial" w:cs="Arial" w:eastAsia="Arial" w:hAnsi="Arial"/>
          <w:color w:val="1A1A18"/>
          <w:sz w:val="22"/>
          <w:szCs w:val="22"/>
        </w:rPr>
        <w:t xml:space="preserve">Request-Routing zu Domain-Services</w:t>
      </w:r>
    </w:p>
    <w:p>
      <w:pPr>
        <w:pStyle w:val="ListParagraph"/>
        <w:numPr>
          <w:ilvl w:val="0"/>
          <w:numId w:val="2"/>
        </w:numPr>
        <w:spacing w:after="60" w:before="0"/>
      </w:pPr>
      <w:r>
        <w:rPr>
          <w:rFonts w:ascii="Arial" w:cs="Arial" w:eastAsia="Arial" w:hAnsi="Arial"/>
          <w:color w:val="1A1A18"/>
          <w:sz w:val="22"/>
          <w:szCs w:val="22"/>
        </w:rPr>
        <w:t xml:space="preserve">Zentrales Logging aller API-Aufrufe (Audit-Trail)</w:t>
      </w:r>
    </w:p>
    <w:p>
      <w:pPr>
        <w:pStyle w:val="ListParagraph"/>
        <w:numPr>
          <w:ilvl w:val="0"/>
          <w:numId w:val="2"/>
        </w:numPr>
        <w:spacing w:after="60" w:before="0"/>
      </w:pPr>
      <w:r>
        <w:rPr>
          <w:rFonts w:ascii="Arial" w:cs="Arial" w:eastAsia="Arial" w:hAnsi="Arial"/>
          <w:color w:val="1A1A18"/>
          <w:sz w:val="22"/>
          <w:szCs w:val="22"/>
        </w:rPr>
        <w:t xml:space="preserve">mTLS zwischen Gateway und Domain-Services</w:t>
      </w:r>
    </w:p>
    <w:p>
      <w:pPr>
        <w:pStyle w:val="ListParagraph"/>
        <w:numPr>
          <w:ilvl w:val="0"/>
          <w:numId w:val="2"/>
        </w:numPr>
        <w:spacing w:after="60" w:before="0"/>
      </w:pPr>
      <w:r>
        <w:rPr>
          <w:rFonts w:ascii="Arial" w:cs="Arial" w:eastAsia="Arial" w:hAnsi="Arial"/>
          <w:color w:val="1A1A18"/>
          <w:sz w:val="22"/>
          <w:szCs w:val="22"/>
        </w:rPr>
        <w:t xml:space="preserve">Developer Portal: Self-Service API-Abonnement für interne Teams (→ Kapitel 6)</w:t>
      </w:r>
    </w:p>
    <w:p>
      <w:pPr>
        <w:spacing w:after="80" w:before="0"/>
      </w:pPr>
      <w:r>
        <w:t xml:space="preserve"/>
      </w:r>
    </w:p>
    <w:p>
      <w:pPr>
        <w:pStyle w:val="Heading3"/>
        <w:spacing w:after="80" w:before="200"/>
      </w:pPr>
      <w:r>
        <w:rPr>
          <w:rFonts w:ascii="Arial" w:cs="Arial" w:eastAsia="Arial" w:hAnsi="Arial"/>
          <w:b/>
          <w:bCs/>
          <w:color w:val="444441"/>
          <w:sz w:val="22"/>
          <w:szCs w:val="22"/>
        </w:rPr>
        <w:t xml:space="preserve">Schicht 3 — Domain-Services</w:t>
      </w:r>
    </w:p>
    <w:p>
      <w:pPr>
        <w:spacing w:after="120" w:before="0"/>
      </w:pPr>
      <w:r>
        <w:rPr>
          <w:rFonts w:ascii="Arial" w:cs="Arial" w:eastAsia="Arial" w:hAnsi="Arial"/>
          <w:color w:val="1A1A18"/>
          <w:sz w:val="22"/>
          <w:szCs w:val="22"/>
        </w:rPr>
        <w:t xml:space="preserve">Jede Domäne ist ein eigenständiger, unabhängig deploybarer Service mit eigenem Datenspeicher. Domänen kommunizieren nicht direkt miteinander — nur über den Event Bus.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Domain-Service</w:t>
            </w:r>
          </w:p>
        </w:tc>
        <w:tc>
          <w:tcPr>
            <w:tcW w:type="dxa" w:w="22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Fachliche Verantwortung</w:t>
            </w:r>
          </w:p>
        </w:tc>
        <w:tc>
          <w:tcPr>
            <w:tcW w:type="dxa" w:w="26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Publiziert Events</w:t>
            </w:r>
          </w:p>
        </w:tc>
        <w:tc>
          <w:tcPr>
            <w:tcW w:type="dxa" w:w="26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Adapter zu</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Policy NL Domain</w:t>
            </w:r>
          </w:p>
        </w:tc>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Nicht-Leben-Policen, Vertragsstand, Bestand</w:t>
            </w:r>
          </w:p>
        </w:tc>
        <w:tc>
          <w:tcPr>
            <w:tcW w:type="dxa" w:w="2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policy.nl.created, policy.nl.updated, policy.nl.cancelled</w:t>
            </w:r>
          </w:p>
        </w:tc>
        <w:tc>
          <w:tcPr>
            <w:tcW w:type="dxa" w:w="2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 via ODBC-Adapter</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Policy L Domain</w:t>
            </w:r>
          </w:p>
        </w:tc>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Leben-Policen, Neugeschäft, Ablauf</w:t>
            </w:r>
          </w:p>
        </w:tc>
        <w:tc>
          <w:tcPr>
            <w:tcW w:type="dxa" w:w="2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policy.l.created, policy.l.updated, policy.l.matured</w:t>
            </w:r>
          </w:p>
        </w:tc>
        <w:tc>
          <w:tcPr>
            <w:tcW w:type="dxa" w:w="2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Oracle 11g via JDBC-Adapter (msg-Life)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Customer Domain</w:t>
            </w:r>
          </w:p>
        </w:tc>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Kundenstammdaten, Adressen, DSGVO</w:t>
            </w:r>
          </w:p>
        </w:tc>
        <w:tc>
          <w:tcPr>
            <w:tcW w:type="dxa" w:w="2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customer.address_changed, customer.merged, customer.consented</w:t>
            </w:r>
          </w:p>
        </w:tc>
        <w:tc>
          <w:tcPr>
            <w:tcW w:type="dxa" w:w="2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 + Oracle (lesend); Schreiben via Policy-Domäne</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Claims Domain</w:t>
            </w:r>
          </w:p>
        </w:tc>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Schadenmeldungen, Regulierung, Status</w:t>
            </w:r>
          </w:p>
        </w:tc>
        <w:tc>
          <w:tcPr>
            <w:tcW w:type="dxa" w:w="2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claim.filed, claim.assessed, claim.settled, claim.rejected</w:t>
            </w:r>
          </w:p>
        </w:tc>
        <w:tc>
          <w:tcPr>
            <w:tcW w:type="dxa" w:w="2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 via ODBC-Adapter (NL-Schäden)</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Partner Domain</w:t>
            </w:r>
          </w:p>
        </w:tc>
        <w:tc>
          <w:tcPr>
            <w:tcW w:type="dxa" w:w="2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Maklerführung, IHK-Status, Provision</w:t>
            </w:r>
          </w:p>
        </w:tc>
        <w:tc>
          <w:tcPr>
            <w:tcW w:type="dxa" w:w="2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partner.registered, partner.ihk_verified, partner.status_changed</w:t>
            </w:r>
          </w:p>
        </w:tc>
        <w:tc>
          <w:tcPr>
            <w:tcW w:type="dxa" w:w="2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Cobra CRM via REST-API-Adapter</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Document Domain</w:t>
            </w:r>
          </w:p>
        </w:tc>
        <w:tc>
          <w:tcPr>
            <w:tcW w:type="dxa" w:w="22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Druckaufträge, Inputmanagement, OCR</w:t>
            </w:r>
          </w:p>
        </w:tc>
        <w:tc>
          <w:tcPr>
            <w:tcW w:type="dxa" w:w="2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document.print.requested, document.received, document.classified</w:t>
            </w:r>
          </w:p>
        </w:tc>
        <w:tc>
          <w:tcPr>
            <w:tcW w:type="dxa" w:w="2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M/Text via Druckadapter; Inputmgmt.-Adapter</w:t>
            </w:r>
          </w:p>
        </w:tc>
      </w:tr>
    </w:tbl>
    <w:p>
      <w:pPr>
        <w:spacing w:after="80" w:before="0"/>
      </w:pPr>
      <w:r>
        <w:t xml:space="preserve"/>
      </w:r>
    </w:p>
    <w:p>
      <w:pPr>
        <w:pStyle w:val="Heading3"/>
        <w:spacing w:after="80" w:before="200"/>
      </w:pPr>
      <w:r>
        <w:rPr>
          <w:rFonts w:ascii="Arial" w:cs="Arial" w:eastAsia="Arial" w:hAnsi="Arial"/>
          <w:b/>
          <w:bCs/>
          <w:color w:val="444441"/>
          <w:sz w:val="22"/>
          <w:szCs w:val="22"/>
        </w:rPr>
        <w:t xml:space="preserve">Schicht 4 — Event Bus (Azure Service Bus)</w:t>
      </w:r>
    </w:p>
    <w:p>
      <w:pPr>
        <w:spacing w:after="120" w:before="0"/>
      </w:pPr>
      <w:r>
        <w:rPr>
          <w:rFonts w:ascii="Arial" w:cs="Arial" w:eastAsia="Arial" w:hAnsi="Arial"/>
          <w:color w:val="1A1A18"/>
          <w:sz w:val="22"/>
          <w:szCs w:val="22"/>
        </w:rPr>
        <w:t xml:space="preserve">Der Azure Service Bus ist das Nervensystem der Architektur. Er entkoppelt alle Systeme voneinander — ein Publisher weiß nicht, wer seine Events konsumiert.</w:t>
      </w:r>
    </w:p>
    <w:p>
      <w:pPr>
        <w:pStyle w:val="ListParagraph"/>
        <w:numPr>
          <w:ilvl w:val="0"/>
          <w:numId w:val="2"/>
        </w:numPr>
        <w:spacing w:after="60" w:before="0"/>
      </w:pPr>
      <w:r>
        <w:rPr>
          <w:rFonts w:ascii="Arial" w:cs="Arial" w:eastAsia="Arial" w:hAnsi="Arial"/>
          <w:color w:val="1A1A18"/>
          <w:sz w:val="22"/>
          <w:szCs w:val="22"/>
        </w:rPr>
        <w:t xml:space="preserve">Topics und Subscriptions: jeder Konsument hat seine eigene Subscription (unabhängige Verarbeitung)</w:t>
      </w:r>
    </w:p>
    <w:p>
      <w:pPr>
        <w:pStyle w:val="ListParagraph"/>
        <w:numPr>
          <w:ilvl w:val="0"/>
          <w:numId w:val="2"/>
        </w:numPr>
        <w:spacing w:after="60" w:before="0"/>
      </w:pPr>
      <w:r>
        <w:rPr>
          <w:rFonts w:ascii="Arial" w:cs="Arial" w:eastAsia="Arial" w:hAnsi="Arial"/>
          <w:color w:val="1A1A18"/>
          <w:sz w:val="22"/>
          <w:szCs w:val="22"/>
        </w:rPr>
        <w:t xml:space="preserve">Dead Letter Queue: fehlgeschlagene Events werden automatisch zur Nachanalyse isoliert</w:t>
      </w:r>
    </w:p>
    <w:p>
      <w:pPr>
        <w:pStyle w:val="ListParagraph"/>
        <w:numPr>
          <w:ilvl w:val="0"/>
          <w:numId w:val="2"/>
        </w:numPr>
        <w:spacing w:after="60" w:before="0"/>
      </w:pPr>
      <w:r>
        <w:rPr>
          <w:rFonts w:ascii="Arial" w:cs="Arial" w:eastAsia="Arial" w:hAnsi="Arial"/>
          <w:color w:val="1A1A18"/>
          <w:sz w:val="22"/>
          <w:szCs w:val="22"/>
        </w:rPr>
        <w:t xml:space="preserve">7-Tage-Retention: vollständiger Replay-Fähigkeit für DORA-Nachweise</w:t>
      </w:r>
    </w:p>
    <w:p>
      <w:pPr>
        <w:pStyle w:val="ListParagraph"/>
        <w:numPr>
          <w:ilvl w:val="0"/>
          <w:numId w:val="2"/>
        </w:numPr>
        <w:spacing w:after="60" w:before="0"/>
      </w:pPr>
      <w:r>
        <w:rPr>
          <w:rFonts w:ascii="Arial" w:cs="Arial" w:eastAsia="Arial" w:hAnsi="Arial"/>
          <w:color w:val="1A1A18"/>
          <w:sz w:val="22"/>
          <w:szCs w:val="22"/>
        </w:rPr>
        <w:t xml:space="preserve">Exactly-Once-Delivery mit AMQP: keine Duplikate im Normalbetrieb</w:t>
      </w:r>
    </w:p>
    <w:p>
      <w:pPr>
        <w:pStyle w:val="ListParagraph"/>
        <w:numPr>
          <w:ilvl w:val="0"/>
          <w:numId w:val="2"/>
        </w:numPr>
        <w:spacing w:after="60" w:before="0"/>
      </w:pPr>
      <w:r>
        <w:rPr>
          <w:rFonts w:ascii="Arial" w:cs="Arial" w:eastAsia="Arial" w:hAnsi="Arial"/>
          <w:color w:val="1A1A18"/>
          <w:sz w:val="22"/>
          <w:szCs w:val="22"/>
        </w:rPr>
        <w:t xml:space="preserve">Azure Event Hubs als Kafka-API-kompatible Ergänzung für Hochlast-Szenarien</w:t>
      </w:r>
    </w:p>
    <w:p>
      <w:pPr>
        <w:spacing w:after="80" w:before="0"/>
      </w:pPr>
      <w:r>
        <w:t xml:space="preserve"/>
      </w:r>
    </w:p>
    <w:p>
      <w:pPr>
        <w:pStyle w:val="Heading3"/>
        <w:spacing w:after="80" w:before="200"/>
      </w:pPr>
      <w:r>
        <w:rPr>
          <w:rFonts w:ascii="Arial" w:cs="Arial" w:eastAsia="Arial" w:hAnsi="Arial"/>
          <w:b/>
          <w:bCs/>
          <w:color w:val="444441"/>
          <w:sz w:val="22"/>
          <w:szCs w:val="22"/>
        </w:rPr>
        <w:t xml:space="preserve">Schicht 5 — Backend-Adapter (Anti-Corruption Layer)</w:t>
      </w:r>
    </w:p>
    <w:p>
      <w:pPr>
        <w:spacing w:after="120" w:before="0"/>
      </w:pPr>
      <w:r>
        <w:rPr>
          <w:rFonts w:ascii="Arial" w:cs="Arial" w:eastAsia="Arial" w:hAnsi="Arial"/>
          <w:color w:val="1A1A18"/>
          <w:sz w:val="22"/>
          <w:szCs w:val="22"/>
        </w:rPr>
        <w:t xml:space="preserve">Adapter kapseln die Komplexität der Legacy-Systeme vollständig. Domain-Services kennen keine AS/400-spezifischen Konstrukte — sie rufen den Adapter auf, der übersetzt.</w:t>
      </w:r>
    </w:p>
    <w:p>
      <w:pPr>
        <w:pStyle w:val="ListParagraph"/>
        <w:numPr>
          <w:ilvl w:val="0"/>
          <w:numId w:val="2"/>
        </w:numPr>
        <w:spacing w:after="60" w:before="0"/>
      </w:pPr>
      <w:r>
        <w:rPr>
          <w:rFonts w:ascii="Arial" w:cs="Arial" w:eastAsia="Arial" w:hAnsi="Arial"/>
          <w:color w:val="1A1A18"/>
          <w:sz w:val="22"/>
          <w:szCs w:val="22"/>
        </w:rPr>
        <w:t xml:space="preserve">AS/400-Adapter: Python/ODBC (bereits vorhanden als Basis) → Azure Function; RPG-Wrapper für komplexe Buchungslogik</w:t>
      </w:r>
    </w:p>
    <w:p>
      <w:pPr>
        <w:pStyle w:val="ListParagraph"/>
        <w:numPr>
          <w:ilvl w:val="0"/>
          <w:numId w:val="2"/>
        </w:numPr>
        <w:spacing w:after="60" w:before="0"/>
      </w:pPr>
      <w:r>
        <w:rPr>
          <w:rFonts w:ascii="Arial" w:cs="Arial" w:eastAsia="Arial" w:hAnsi="Arial"/>
          <w:color w:val="1A1A18"/>
          <w:sz w:val="22"/>
          <w:szCs w:val="22"/>
        </w:rPr>
        <w:t xml:space="preserve">Oracle-Adapter: JDBC → Azure Function; msg-Life-API-Kenntnisse im Adapter gekapselt</w:t>
      </w:r>
    </w:p>
    <w:p>
      <w:pPr>
        <w:pStyle w:val="ListParagraph"/>
        <w:numPr>
          <w:ilvl w:val="0"/>
          <w:numId w:val="2"/>
        </w:numPr>
        <w:spacing w:after="60" w:before="0"/>
      </w:pPr>
      <w:r>
        <w:rPr>
          <w:rFonts w:ascii="Arial" w:cs="Arial" w:eastAsia="Arial" w:hAnsi="Arial"/>
          <w:color w:val="1A1A18"/>
          <w:sz w:val="22"/>
          <w:szCs w:val="22"/>
        </w:rPr>
        <w:t xml:space="preserve">Cobra-Adapter: REST-API → Azure Function; Webhook-Empfang für Cobra-seitige Ereignisse</w:t>
      </w:r>
    </w:p>
    <w:p>
      <w:pPr>
        <w:pStyle w:val="ListParagraph"/>
        <w:numPr>
          <w:ilvl w:val="0"/>
          <w:numId w:val="2"/>
        </w:numPr>
        <w:spacing w:after="60" w:before="0"/>
      </w:pPr>
      <w:r>
        <w:rPr>
          <w:rFonts w:ascii="Arial" w:cs="Arial" w:eastAsia="Arial" w:hAnsi="Arial"/>
          <w:color w:val="1A1A18"/>
          <w:sz w:val="22"/>
          <w:szCs w:val="22"/>
        </w:rPr>
        <w:t xml:space="preserve">Ext.-Dienste-Adapter: ABIS, ZürsGeo, IHK, GDV — jeweils eigener Adapter, kein Shared-Code</w:t>
      </w:r>
    </w:p>
    <w:p>
      <w:pPr>
        <w:spacing w:after="80" w:before="0"/>
      </w:pPr>
      <w:r>
        <w:t xml:space="preserve"/>
      </w:r>
    </w:p>
    <w:p>
      <w:pPr>
        <w:pStyle w:val="Heading3"/>
        <w:spacing w:after="80" w:before="200"/>
      </w:pPr>
      <w:r>
        <w:rPr>
          <w:rFonts w:ascii="Arial" w:cs="Arial" w:eastAsia="Arial" w:hAnsi="Arial"/>
          <w:b/>
          <w:bCs/>
          <w:color w:val="444441"/>
          <w:sz w:val="22"/>
          <w:szCs w:val="22"/>
        </w:rPr>
        <w:t xml:space="preserve">Schicht 6 — dispDB (analytisch, read-only)</w:t>
      </w:r>
    </w:p>
    <w:p>
      <w:pPr>
        <w:pStyle w:val="ListParagraph"/>
        <w:numPr>
          <w:ilvl w:val="0"/>
          <w:numId w:val="2"/>
        </w:numPr>
        <w:spacing w:after="60" w:before="0"/>
      </w:pPr>
      <w:r>
        <w:rPr>
          <w:rFonts w:ascii="Arial" w:cs="Arial" w:eastAsia="Arial" w:hAnsi="Arial"/>
          <w:color w:val="1A1A18"/>
          <w:sz w:val="22"/>
          <w:szCs w:val="22"/>
        </w:rPr>
        <w:t xml:space="preserve">Bronze: Raw-Ingest aller Domain-Events via Data Factory; SHIR verbindet on-premise AS/400 und Oracle</w:t>
      </w:r>
    </w:p>
    <w:p>
      <w:pPr>
        <w:pStyle w:val="ListParagraph"/>
        <w:numPr>
          <w:ilvl w:val="0"/>
          <w:numId w:val="2"/>
        </w:numPr>
        <w:spacing w:after="60" w:before="0"/>
      </w:pPr>
      <w:r>
        <w:rPr>
          <w:rFonts w:ascii="Arial" w:cs="Arial" w:eastAsia="Arial" w:hAnsi="Arial"/>
          <w:color w:val="1A1A18"/>
          <w:sz w:val="22"/>
          <w:szCs w:val="22"/>
        </w:rPr>
        <w:t xml:space="preserve">Silver: Harmonisierung NL + L; Datenbereinigungs-Regeln; Unity Catalog ACLs</w:t>
      </w:r>
    </w:p>
    <w:p>
      <w:pPr>
        <w:pStyle w:val="ListParagraph"/>
        <w:numPr>
          <w:ilvl w:val="0"/>
          <w:numId w:val="2"/>
        </w:numPr>
        <w:spacing w:after="60" w:before="0"/>
      </w:pPr>
      <w:r>
        <w:rPr>
          <w:rFonts w:ascii="Arial" w:cs="Arial" w:eastAsia="Arial" w:hAnsi="Arial"/>
          <w:color w:val="1A1A18"/>
          <w:sz w:val="22"/>
          <w:szCs w:val="22"/>
        </w:rPr>
        <w:t xml:space="preserve">Gold: KPI-Layer; fachlich aggregiert; Semantic Layer für Power BI DirectLake</w:t>
      </w:r>
    </w:p>
    <w:p>
      <w:pPr>
        <w:pStyle w:val="ListParagraph"/>
        <w:numPr>
          <w:ilvl w:val="0"/>
          <w:numId w:val="2"/>
        </w:numPr>
        <w:spacing w:after="60" w:before="0"/>
      </w:pPr>
      <w:r>
        <w:rPr>
          <w:rFonts w:ascii="Arial" w:cs="Arial" w:eastAsia="Arial" w:hAnsi="Arial"/>
          <w:color w:val="1A1A18"/>
          <w:sz w:val="22"/>
          <w:szCs w:val="22"/>
        </w:rPr>
        <w:t xml:space="preserve">Keine Schreibverbindung vom Kundenportal über dispDB in Kernsysteme — architektonisch ausgeschlossen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3.2 Stärken und Herausforderungen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Stärken</w:t>
            </w:r>
          </w:p>
        </w:tc>
        <w:tc>
          <w:tcPr>
            <w:tcW w:type="dxa" w:w="4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Herausforderungen</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Industriestandard, gut dokumentiert, Referenzarchitekturen verfügbar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AS/400-Adapter: RPG-Know-how erforderlich (RPG-Kollege ab Aug. 2026)</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Service Bus = DORA-Audit-Trail quasi kostenlos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Microservice-Betrieb erfordert DevOps-Reife (CI/CD, Monitoring)</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Domain-Services unabhängig skalierbar und deploybar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Datenkonsistenz über Domänen: Saga-Pattern oder 2PC nötig</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Azure-Stack konsistent: ein Tenant, ein Governance-Rahmen</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Initiale API-Design-Investition hoch — braucht Architektur-Governance</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Schrittweise Migration: Legacy hinter Adaptern austauschbar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Team-Disziplin: kein direktes Schreiben zwischen Domänen</w:t>
            </w:r>
          </w:p>
        </w:tc>
      </w:tr>
    </w:tbl>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4. Architektur 2 — Event-Sourced Real-Time Insurance</w:t>
      </w:r>
    </w:p>
    <w:p>
      <w:pPr>
        <w:spacing w:after="120" w:before="0"/>
      </w:pPr>
      <w:r>
        <w:rPr>
          <w:rFonts w:ascii="Arial" w:cs="Arial" w:eastAsia="Arial" w:hAnsi="Arial"/>
          <w:color w:val="1A1A18"/>
          <w:sz w:val="22"/>
          <w:szCs w:val="22"/>
        </w:rPr>
        <w:t xml:space="preserve">Architektur 2 ist die technisch sauberste Lösung: Apache Kafka als unveränderliches Event-Log, CQRS (Command Query Responsibility Segregation) als Strukturprinzip, und Echtzeit-Stream-Processing für Fraud Detection, Preisfindung und KPI-Berechnung. Jeder Geschäftsvorfall ist ein permanenter, unveränderlicher Event — der Systemzustand ist jederzeit aus dem Event-Log rekonstruierbar.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1"/>
              <w:left w:val="single" w:color="185FA5" w:sz="18"/>
              <w:bottom w:val="single" w:color="D3D1C7" w:sz="1"/>
              <w:right w:val="single" w:color="D3D1C7" w:sz="1"/>
            </w:tcBorders>
            <w:shd w:fill="E6F1FB" w:val="clear"/>
            <w:tcMar>
              <w:top w:type="dxa" w:w="100"/>
              <w:left w:type="dxa" w:w="160"/>
              <w:bottom w:type="dxa" w:w="100"/>
              <w:right w:type="dxa" w:w="160"/>
            </w:tcMar>
          </w:tcPr>
          <w:p>
            <w:pPr>
              <w:spacing w:after="60" w:before="0"/>
            </w:pPr>
            <w:r>
              <w:rPr>
                <w:rFonts w:ascii="Arial" w:cs="Arial" w:eastAsia="Arial" w:hAnsi="Arial"/>
                <w:b/>
                <w:bCs/>
                <w:color w:val="185FA5"/>
                <w:sz w:val="20"/>
                <w:szCs w:val="20"/>
              </w:rPr>
              <w:t xml:space="preserve">Empfehlung: Mittelfristiges Zielbild (4–6 Jahre)</w:t>
            </w:r>
          </w:p>
          <w:p>
            <w:r>
              <w:rPr>
                <w:rFonts w:ascii="Arial" w:cs="Arial" w:eastAsia="Arial" w:hAnsi="Arial"/>
                <w:color w:val="1A1A18"/>
                <w:sz w:val="20"/>
                <w:szCs w:val="20"/>
              </w:rPr>
              <w:t xml:space="preserve">Kafka-Einführung kann parallel zu Architektur 1 beginnen. Azure Event Hubs ist Kafka-API-kompatibel — der Umstieg von Service Bus auf Kafka ist dann ein Konfigurationswechsel, kein Architekturwechsel.</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4.1 Kernprinzipien</w:t>
      </w:r>
    </w:p>
    <w:p>
      <w:pPr>
        <w:pStyle w:val="Heading3"/>
        <w:spacing w:after="80" w:before="200"/>
      </w:pPr>
      <w:r>
        <w:rPr>
          <w:rFonts w:ascii="Arial" w:cs="Arial" w:eastAsia="Arial" w:hAnsi="Arial"/>
          <w:b/>
          <w:bCs/>
          <w:color w:val="444441"/>
          <w:sz w:val="22"/>
          <w:szCs w:val="22"/>
        </w:rPr>
        <w:t xml:space="preserve">Event Sourcing</w:t>
      </w:r>
    </w:p>
    <w:p>
      <w:pPr>
        <w:spacing w:after="120" w:before="0"/>
      </w:pPr>
      <w:r>
        <w:rPr>
          <w:rFonts w:ascii="Arial" w:cs="Arial" w:eastAsia="Arial" w:hAnsi="Arial"/>
          <w:color w:val="1A1A18"/>
          <w:sz w:val="22"/>
          <w:szCs w:val="22"/>
        </w:rPr>
        <w:t xml:space="preserve">Im klassischen System gibt es UPDATE- und DELETE-Operationen auf Datensätzen. Im Event-Sourced System gibt es ausschließlich INSERT von Events. Der aktuelle Zustand einer Police ist die Summe aller Policy-Events. Das bedeutet:</w:t>
      </w:r>
    </w:p>
    <w:p>
      <w:pPr>
        <w:pStyle w:val="ListParagraph"/>
        <w:numPr>
          <w:ilvl w:val="0"/>
          <w:numId w:val="2"/>
        </w:numPr>
        <w:spacing w:after="60" w:before="0"/>
      </w:pPr>
      <w:r>
        <w:rPr>
          <w:rFonts w:ascii="Arial" w:cs="Arial" w:eastAsia="Arial" w:hAnsi="Arial"/>
          <w:color w:val="1A1A18"/>
          <w:sz w:val="22"/>
          <w:szCs w:val="22"/>
        </w:rPr>
        <w:t xml:space="preserve">Vollständige Audit-History ohne zusätzlichen Aufwand — DORA-Anforderungen erfüllt by design</w:t>
      </w:r>
    </w:p>
    <w:p>
      <w:pPr>
        <w:pStyle w:val="ListParagraph"/>
        <w:numPr>
          <w:ilvl w:val="0"/>
          <w:numId w:val="2"/>
        </w:numPr>
        <w:spacing w:after="60" w:before="0"/>
      </w:pPr>
      <w:r>
        <w:rPr>
          <w:rFonts w:ascii="Arial" w:cs="Arial" w:eastAsia="Arial" w:hAnsi="Arial"/>
          <w:color w:val="1A1A18"/>
          <w:sz w:val="22"/>
          <w:szCs w:val="22"/>
        </w:rPr>
        <w:t xml:space="preserve">Time Travel: Systemzustand zu jedem beliebigen Zeitpunkt rekonstruierbar</w:t>
      </w:r>
    </w:p>
    <w:p>
      <w:pPr>
        <w:pStyle w:val="ListParagraph"/>
        <w:numPr>
          <w:ilvl w:val="0"/>
          <w:numId w:val="2"/>
        </w:numPr>
        <w:spacing w:after="60" w:before="0"/>
      </w:pPr>
      <w:r>
        <w:rPr>
          <w:rFonts w:ascii="Arial" w:cs="Arial" w:eastAsia="Arial" w:hAnsi="Arial"/>
          <w:color w:val="1A1A18"/>
          <w:sz w:val="22"/>
          <w:szCs w:val="22"/>
        </w:rPr>
        <w:t xml:space="preserve">Fehlerkorrektur: fehlerhafte Events können durch Kompensations-Events korrigiert werden</w:t>
      </w:r>
    </w:p>
    <w:p>
      <w:pPr>
        <w:pStyle w:val="ListParagraph"/>
        <w:numPr>
          <w:ilvl w:val="0"/>
          <w:numId w:val="2"/>
        </w:numPr>
        <w:spacing w:after="60" w:before="0"/>
      </w:pPr>
      <w:r>
        <w:rPr>
          <w:rFonts w:ascii="Arial" w:cs="Arial" w:eastAsia="Arial" w:hAnsi="Arial"/>
          <w:color w:val="1A1A18"/>
          <w:sz w:val="22"/>
          <w:szCs w:val="22"/>
        </w:rPr>
        <w:t xml:space="preserve">Testbarkeit: Szenarien exakt reproduzierbar durch Event-Replay</w:t>
      </w:r>
    </w:p>
    <w:p>
      <w:pPr>
        <w:spacing w:after="80" w:before="0"/>
      </w:pPr>
      <w:r>
        <w:t xml:space="preserve"/>
      </w:r>
    </w:p>
    <w:p>
      <w:pPr>
        <w:pStyle w:val="Heading3"/>
        <w:spacing w:after="80" w:before="200"/>
      </w:pPr>
      <w:r>
        <w:rPr>
          <w:rFonts w:ascii="Arial" w:cs="Arial" w:eastAsia="Arial" w:hAnsi="Arial"/>
          <w:b/>
          <w:bCs/>
          <w:color w:val="444441"/>
          <w:sz w:val="22"/>
          <w:szCs w:val="22"/>
        </w:rPr>
        <w:t xml:space="preserve">CQRS — Command Query Responsibility Segregation</w:t>
      </w:r>
    </w:p>
    <w:p>
      <w:pPr>
        <w:spacing w:after="120" w:before="0"/>
      </w:pPr>
      <w:r>
        <w:rPr>
          <w:rFonts w:ascii="Arial" w:cs="Arial" w:eastAsia="Arial" w:hAnsi="Arial"/>
          <w:color w:val="1A1A18"/>
          <w:sz w:val="22"/>
          <w:szCs w:val="22"/>
        </w:rPr>
        <w:t xml:space="preserve">Lese- und Schreiboperationen werden vollständig getrennt. Ein Schreibbefehl ("Adresse ändern") geht als Command auf den Kafka-Bus, ein Worker verarbeitet ihn und schreibt das Ergebnis als Event. Für Lesezugriffe existieren dedizierte Read Models — optimierte Datenbanken, die genau das Schema haben, das die jeweilige Anwendung braucht.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Read Model</w:t>
            </w:r>
          </w:p>
        </w:tc>
        <w:tc>
          <w:tcPr>
            <w:tcW w:type="dxa" w:w="351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Technologie</w:t>
            </w:r>
          </w:p>
        </w:tc>
        <w:tc>
          <w:tcPr>
            <w:tcW w:type="dxa" w:w="351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Optimiert für</w:t>
            </w:r>
          </w:p>
        </w:tc>
      </w:tr>
      <w:tr>
        <w:tc>
          <w:tcPr>
            <w:tcW w:type="dxa" w:w="234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Customer View</w:t>
            </w:r>
          </w:p>
        </w:tc>
        <w:tc>
          <w:tcPr>
            <w:tcW w:type="dxa" w:w="351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 Database for PostgreSQL</w:t>
            </w:r>
          </w:p>
        </w:tc>
        <w:tc>
          <w:tcPr>
            <w:tcW w:type="dxa" w:w="351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Kundenportal: aktueller Zustand, schnelle Abfragen</w:t>
            </w:r>
          </w:p>
        </w:tc>
      </w:tr>
      <w:tr>
        <w:tc>
          <w:tcPr>
            <w:tcW w:type="dxa" w:w="234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Policy NL View</w:t>
            </w:r>
          </w:p>
        </w:tc>
        <w:tc>
          <w:tcPr>
            <w:tcW w:type="dxa" w:w="351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 Database for PostgreSQL</w:t>
            </w:r>
          </w:p>
        </w:tc>
        <w:tc>
          <w:tcPr>
            <w:tcW w:type="dxa" w:w="351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Sachbearbeiter-FE: Vertragsstand mit Historie</w:t>
            </w:r>
          </w:p>
        </w:tc>
      </w:tr>
      <w:tr>
        <w:tc>
          <w:tcPr>
            <w:tcW w:type="dxa" w:w="234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Policy L View</w:t>
            </w:r>
          </w:p>
        </w:tc>
        <w:tc>
          <w:tcPr>
            <w:tcW w:type="dxa" w:w="351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 Database for PostgreSQL</w:t>
            </w:r>
          </w:p>
        </w:tc>
        <w:tc>
          <w:tcPr>
            <w:tcW w:type="dxa" w:w="351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Sachbearbeiter-FE Leben: msg-Life-Daten lesbar</w:t>
            </w:r>
          </w:p>
        </w:tc>
      </w:tr>
      <w:tr>
        <w:tc>
          <w:tcPr>
            <w:tcW w:type="dxa" w:w="234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Partner View</w:t>
            </w:r>
          </w:p>
        </w:tc>
        <w:tc>
          <w:tcPr>
            <w:tcW w:type="dxa" w:w="351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 Database for PostgreSQL</w:t>
            </w:r>
          </w:p>
        </w:tc>
        <w:tc>
          <w:tcPr>
            <w:tcW w:type="dxa" w:w="351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BiPRO/X4: Maklerregister, IHK-Status, Provision</w:t>
            </w:r>
          </w:p>
        </w:tc>
      </w:tr>
      <w:tr>
        <w:tc>
          <w:tcPr>
            <w:tcW w:type="dxa" w:w="234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Scoring View</w:t>
            </w:r>
          </w:p>
        </w:tc>
        <w:tc>
          <w:tcPr>
            <w:tcW w:type="dxa" w:w="351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 Cache for Redis</w:t>
            </w:r>
          </w:p>
        </w:tc>
        <w:tc>
          <w:tcPr>
            <w:tcW w:type="dxa" w:w="351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Echtzeit-Tarifanfragen: sub-50ms Antwortzeit</w:t>
            </w:r>
          </w:p>
        </w:tc>
      </w:tr>
      <w:tr>
        <w:tc>
          <w:tcPr>
            <w:tcW w:type="dxa" w:w="234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Fraud View</w:t>
            </w:r>
          </w:p>
        </w:tc>
        <w:tc>
          <w:tcPr>
            <w:tcW w:type="dxa" w:w="351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 Cosmos DB</w:t>
            </w:r>
          </w:p>
        </w:tc>
        <w:tc>
          <w:tcPr>
            <w:tcW w:type="dxa" w:w="351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Anomalie-Erkennung: flexible Schemaevolution</w:t>
            </w:r>
          </w:p>
        </w:tc>
      </w:tr>
    </w:tbl>
    <w:p>
      <w:pPr>
        <w:spacing w:after="80" w:before="0"/>
      </w:pPr>
      <w:r>
        <w:t xml:space="preserve"/>
      </w:r>
    </w:p>
    <w:p>
      <w:pPr>
        <w:pStyle w:val="Heading3"/>
        <w:spacing w:after="80" w:before="200"/>
      </w:pPr>
      <w:r>
        <w:rPr>
          <w:rFonts w:ascii="Arial" w:cs="Arial" w:eastAsia="Arial" w:hAnsi="Arial"/>
          <w:b/>
          <w:bCs/>
          <w:color w:val="444441"/>
          <w:sz w:val="22"/>
          <w:szCs w:val="22"/>
        </w:rPr>
        <w:t xml:space="preserve">Kafka-Topics — Event-Nomenklatur</w:t>
      </w:r>
    </w:p>
    <w:p>
      <w:pPr>
        <w:pStyle w:val="ListParagraph"/>
        <w:numPr>
          <w:ilvl w:val="0"/>
          <w:numId w:val="2"/>
        </w:numPr>
        <w:spacing w:after="60" w:before="0"/>
      </w:pPr>
      <w:r>
        <w:rPr>
          <w:rFonts w:ascii="Arial" w:cs="Arial" w:eastAsia="Arial" w:hAnsi="Arial"/>
          <w:color w:val="1A1A18"/>
          <w:sz w:val="22"/>
          <w:szCs w:val="22"/>
        </w:rPr>
        <w:t xml:space="preserve">policy.nl.events — alle Nicht-Leben-Policen-Ereignisse aus AS/400 (via CDC / Journal)</w:t>
      </w:r>
    </w:p>
    <w:p>
      <w:pPr>
        <w:pStyle w:val="ListParagraph"/>
        <w:numPr>
          <w:ilvl w:val="0"/>
          <w:numId w:val="2"/>
        </w:numPr>
        <w:spacing w:after="60" w:before="0"/>
      </w:pPr>
      <w:r>
        <w:rPr>
          <w:rFonts w:ascii="Arial" w:cs="Arial" w:eastAsia="Arial" w:hAnsi="Arial"/>
          <w:color w:val="1A1A18"/>
          <w:sz w:val="22"/>
          <w:szCs w:val="22"/>
        </w:rPr>
        <w:t xml:space="preserve">policy.l.events — alle Leben-Policen-Ereignisse aus Oracle (via LogMiner)</w:t>
      </w:r>
    </w:p>
    <w:p>
      <w:pPr>
        <w:pStyle w:val="ListParagraph"/>
        <w:numPr>
          <w:ilvl w:val="0"/>
          <w:numId w:val="2"/>
        </w:numPr>
        <w:spacing w:after="60" w:before="0"/>
      </w:pPr>
      <w:r>
        <w:rPr>
          <w:rFonts w:ascii="Arial" w:cs="Arial" w:eastAsia="Arial" w:hAnsi="Arial"/>
          <w:color w:val="1A1A18"/>
          <w:sz w:val="22"/>
          <w:szCs w:val="22"/>
        </w:rPr>
        <w:t xml:space="preserve">customer.events — Kundenstammdaten-Änderungen</w:t>
      </w:r>
    </w:p>
    <w:p>
      <w:pPr>
        <w:pStyle w:val="ListParagraph"/>
        <w:numPr>
          <w:ilvl w:val="0"/>
          <w:numId w:val="2"/>
        </w:numPr>
        <w:spacing w:after="60" w:before="0"/>
      </w:pPr>
      <w:r>
        <w:rPr>
          <w:rFonts w:ascii="Arial" w:cs="Arial" w:eastAsia="Arial" w:hAnsi="Arial"/>
          <w:color w:val="1A1A18"/>
          <w:sz w:val="22"/>
          <w:szCs w:val="22"/>
        </w:rPr>
        <w:t xml:space="preserve">claims.events — Schadenereignisse NL und L</w:t>
      </w:r>
    </w:p>
    <w:p>
      <w:pPr>
        <w:pStyle w:val="ListParagraph"/>
        <w:numPr>
          <w:ilvl w:val="0"/>
          <w:numId w:val="2"/>
        </w:numPr>
        <w:spacing w:after="60" w:before="0"/>
      </w:pPr>
      <w:r>
        <w:rPr>
          <w:rFonts w:ascii="Arial" w:cs="Arial" w:eastAsia="Arial" w:hAnsi="Arial"/>
          <w:color w:val="1A1A18"/>
          <w:sz w:val="22"/>
          <w:szCs w:val="22"/>
        </w:rPr>
        <w:t xml:space="preserve">partner.events — Maklerregistrierung, IHK-Prüfung, Statusänderungen aus Cobra</w:t>
      </w:r>
    </w:p>
    <w:p>
      <w:pPr>
        <w:pStyle w:val="ListParagraph"/>
        <w:numPr>
          <w:ilvl w:val="0"/>
          <w:numId w:val="2"/>
        </w:numPr>
        <w:spacing w:after="60" w:before="0"/>
      </w:pPr>
      <w:r>
        <w:rPr>
          <w:rFonts w:ascii="Arial" w:cs="Arial" w:eastAsia="Arial" w:hAnsi="Arial"/>
          <w:color w:val="1A1A18"/>
          <w:sz w:val="22"/>
          <w:szCs w:val="22"/>
        </w:rPr>
        <w:t xml:space="preserve">payment.events — Zahlungsein- und -ausgänge</w:t>
      </w:r>
    </w:p>
    <w:p>
      <w:pPr>
        <w:pStyle w:val="ListParagraph"/>
        <w:numPr>
          <w:ilvl w:val="0"/>
          <w:numId w:val="2"/>
        </w:numPr>
        <w:spacing w:after="60" w:before="0"/>
      </w:pPr>
      <w:r>
        <w:rPr>
          <w:rFonts w:ascii="Arial" w:cs="Arial" w:eastAsia="Arial" w:hAnsi="Arial"/>
          <w:color w:val="1A1A18"/>
          <w:sz w:val="22"/>
          <w:szCs w:val="22"/>
        </w:rPr>
        <w:t xml:space="preserve">document.events — Eingangspost, Druckaufträge, OCR-Ergebnisse</w:t>
      </w:r>
    </w:p>
    <w:p>
      <w:pPr>
        <w:pStyle w:val="ListParagraph"/>
        <w:numPr>
          <w:ilvl w:val="0"/>
          <w:numId w:val="2"/>
        </w:numPr>
        <w:spacing w:after="60" w:before="0"/>
      </w:pPr>
      <w:r>
        <w:rPr>
          <w:rFonts w:ascii="Arial" w:cs="Arial" w:eastAsia="Arial" w:hAnsi="Arial"/>
          <w:color w:val="1A1A18"/>
          <w:sz w:val="22"/>
          <w:szCs w:val="22"/>
        </w:rPr>
        <w:t xml:space="preserve">ext.abis.events — Adressprüfergebnisse (ABIS)</w:t>
      </w:r>
    </w:p>
    <w:p>
      <w:pPr>
        <w:pStyle w:val="ListParagraph"/>
        <w:numPr>
          <w:ilvl w:val="0"/>
          <w:numId w:val="2"/>
        </w:numPr>
        <w:spacing w:after="60" w:before="0"/>
      </w:pPr>
      <w:r>
        <w:rPr>
          <w:rFonts w:ascii="Arial" w:cs="Arial" w:eastAsia="Arial" w:hAnsi="Arial"/>
          <w:color w:val="1A1A18"/>
          <w:sz w:val="22"/>
          <w:szCs w:val="22"/>
        </w:rPr>
        <w:t xml:space="preserve">ext.zuersgeo.events — Zonierungsdaten-Updates</w:t>
      </w:r>
    </w:p>
    <w:p>
      <w:pPr>
        <w:pStyle w:val="ListParagraph"/>
        <w:numPr>
          <w:ilvl w:val="0"/>
          <w:numId w:val="2"/>
        </w:numPr>
        <w:spacing w:after="60" w:before="0"/>
      </w:pPr>
      <w:r>
        <w:rPr>
          <w:rFonts w:ascii="Arial" w:cs="Arial" w:eastAsia="Arial" w:hAnsi="Arial"/>
          <w:color w:val="1A1A18"/>
          <w:sz w:val="22"/>
          <w:szCs w:val="22"/>
        </w:rPr>
        <w:t xml:space="preserve">ext.ihk.events — IHK-Registrierungsabfragen und -ergebnisse</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4.2 CDC — Change Data Capture aus Legacy-Systemen</w:t>
      </w:r>
    </w:p>
    <w:p>
      <w:pPr>
        <w:spacing w:after="120" w:before="0"/>
      </w:pPr>
      <w:r>
        <w:rPr>
          <w:rFonts w:ascii="Arial" w:cs="Arial" w:eastAsia="Arial" w:hAnsi="Arial"/>
          <w:color w:val="1A1A18"/>
          <w:sz w:val="22"/>
          <w:szCs w:val="22"/>
        </w:rPr>
        <w:t xml:space="preserve">Um AS/400 und Oracle als Event-Produzenten in eine Kafka-Architektur zu integrieren, ohne ihre interne Logik zu ändern, wird CDC eingesetzt:</w:t>
      </w:r>
    </w:p>
    <w:p>
      <w:pPr>
        <w:pStyle w:val="ListParagraph"/>
        <w:numPr>
          <w:ilvl w:val="0"/>
          <w:numId w:val="2"/>
        </w:numPr>
        <w:spacing w:after="60" w:before="0"/>
      </w:pPr>
      <w:r>
        <w:rPr>
          <w:rFonts w:ascii="Arial" w:cs="Arial" w:eastAsia="Arial" w:hAnsi="Arial"/>
          <w:color w:val="1A1A18"/>
          <w:sz w:val="22"/>
          <w:szCs w:val="22"/>
        </w:rPr>
        <w:t xml:space="preserve">AS/400 / Journal: Die AS/400 führt ein internes Journal über alle Datenbankänderungen. Ein CDC-Connector liest dieses Journal und publiziert die Änderungen als Kafka-Events. Erfordert Koordination mit dem IT-Infrastruktur-Kollegen.</w:t>
      </w:r>
    </w:p>
    <w:p>
      <w:pPr>
        <w:pStyle w:val="ListParagraph"/>
        <w:numPr>
          <w:ilvl w:val="0"/>
          <w:numId w:val="2"/>
        </w:numPr>
        <w:spacing w:after="60" w:before="0"/>
      </w:pPr>
      <w:r>
        <w:rPr>
          <w:rFonts w:ascii="Arial" w:cs="Arial" w:eastAsia="Arial" w:hAnsi="Arial"/>
          <w:color w:val="1A1A18"/>
          <w:sz w:val="22"/>
          <w:szCs w:val="22"/>
        </w:rPr>
        <w:t xml:space="preserve">Oracle LogMiner: Oracle bietet LogMiner als eingebautes CDC-Werkzeug. Kafka Connect mit einem Oracle-Connector (z. B. Debezium) liest den Redo-Log und publiziert Events. Für Oracle 11g: Debezium 1.x (ältere Version) erforderlich.</w:t>
      </w:r>
    </w:p>
    <w:p>
      <w:pPr>
        <w:pStyle w:val="ListParagraph"/>
        <w:numPr>
          <w:ilvl w:val="0"/>
          <w:numId w:val="2"/>
        </w:numPr>
        <w:spacing w:after="60" w:before="0"/>
      </w:pPr>
      <w:r>
        <w:rPr>
          <w:rFonts w:ascii="Arial" w:cs="Arial" w:eastAsia="Arial" w:hAnsi="Arial"/>
          <w:color w:val="1A1A18"/>
          <w:sz w:val="22"/>
          <w:szCs w:val="22"/>
        </w:rPr>
        <w:t xml:space="preserve">Cobra CRM: Webhook-Mechanismus aus Cobra → Azure Function → Kafka-Topic partner.events. Alternativ: Polling via Cobra REST-API wenn kein Webhook verfügbar.</w:t>
      </w:r>
    </w:p>
    <w:p>
      <w:pPr>
        <w:pBdr>
          <w:left w:val="single" w:color="BA7517" w:sz="12"/>
        </w:pBdr>
        <w:shd w:fill="FAEEDA" w:val="clear"/>
        <w:spacing w:after="140" w:before="140"/>
        <w:ind w:left="280" w:right="280"/>
      </w:pPr>
      <w:r>
        <w:rPr>
          <w:rFonts w:ascii="Arial" w:cs="Arial" w:eastAsia="Arial" w:hAnsi="Arial"/>
          <w:i/>
          <w:iCs/>
          <w:color w:val="1A1A18"/>
          <w:sz w:val="20"/>
          <w:szCs w:val="20"/>
        </w:rPr>
        <w:t xml:space="preserve">CDC ist eine Phase-2-Anforderung. In Phase 1 (Architektur 1) erfolgt der Ingest noch über Batch-Jobs via Data Factory / SHIR. Der Übergang zu CDC in Phase 2 ist ein reiner Ingestion-Layer-Wechsel — die dispDB-Bronze-Schicht bleibt unverändert.</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4.3 Blockchain-Ergänzung</w:t>
      </w:r>
    </w:p>
    <w:p>
      <w:pPr>
        <w:spacing w:after="120" w:before="0"/>
      </w:pPr>
      <w:r>
        <w:rPr>
          <w:rFonts w:ascii="Arial" w:cs="Arial" w:eastAsia="Arial" w:hAnsi="Arial"/>
          <w:color w:val="1A1A18"/>
          <w:sz w:val="22"/>
          <w:szCs w:val="22"/>
        </w:rPr>
        <w:t xml:space="preserve">Blockchain/Distributed Ledger Technology (DLT) ist in der Versicherungsarchitektur kein universelles Allheilmittel, sondern für spezifische Anwendungsfälle geeignet: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80"/>
        <w:gridCol w:w="2780"/>
      </w:tblGrid>
      <w:tr>
        <w:tc>
          <w:tcPr>
            <w:tcW w:type="dxa" w:w="28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Anwendungsfall</w:t>
            </w:r>
          </w:p>
        </w:tc>
        <w:tc>
          <w:tcPr>
            <w:tcW w:type="dxa" w:w="37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Beschreibung</w:t>
            </w:r>
          </w:p>
        </w:tc>
        <w:tc>
          <w:tcPr>
            <w:tcW w:type="dxa" w:w="27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Technologie</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GDV-Schadenspool</w:t>
            </w:r>
          </w:p>
        </w:tc>
        <w:tc>
          <w:tcPr>
            <w:tcW w:type="dxa" w:w="37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Branchenweiter Austausch von Schadenshistorien; Betrugsfrüherkennung durch mehrere Versicherer gemeinsam</w:t>
            </w:r>
          </w:p>
        </w:tc>
        <w:tc>
          <w:tcPr>
            <w:tcW w:type="dxa" w:w="27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Hyperledger Fabric; GDV-Initiative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Makler-Provisionsnachweis</w:t>
            </w:r>
          </w:p>
        </w:tc>
        <w:tc>
          <w:tcPr>
            <w:tcW w:type="dxa" w:w="37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Unveränderlicher Nachweis von Provisionsvereinbarungen und -auszahlungen zwischen Versicherer und Makler</w:t>
            </w:r>
          </w:p>
        </w:tc>
        <w:tc>
          <w:tcPr>
            <w:tcW w:type="dxa" w:w="27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Private Chain oder Ethereum-Layer-2</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Parametrische Versicherung</w:t>
            </w:r>
          </w:p>
        </w:tc>
        <w:tc>
          <w:tcPr>
            <w:tcW w:type="dxa" w:w="37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Wetter-Index-Trigger löst automatisch Zahlung aus (z. B. Ernte bei unter X mm Niederschlag) ohne manuelle Schadensprüfung</w:t>
            </w:r>
          </w:p>
        </w:tc>
        <w:tc>
          <w:tcPr>
            <w:tcW w:type="dxa" w:w="27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Ethereum Smart Contract + Chainlink Oracle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Policen-Integritätsnachweis</w:t>
            </w:r>
          </w:p>
        </w:tc>
        <w:tc>
          <w:tcPr>
            <w:tcW w:type="dxa" w:w="37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Kryptografischer Hash der Police on-chain: Nachweis, dass Policeninhalt nicht nachträglich verändert wurde</w:t>
            </w:r>
          </w:p>
        </w:tc>
        <w:tc>
          <w:tcPr>
            <w:tcW w:type="dxa" w:w="27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Azure Confidential Ledger</w:t>
            </w:r>
          </w:p>
        </w:tc>
      </w:tr>
    </w:tbl>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5. Architektur 3 — Intelligent Insurance Platform</w:t>
      </w:r>
    </w:p>
    <w:p>
      <w:pPr>
        <w:spacing w:after="120" w:before="0"/>
      </w:pPr>
      <w:r>
        <w:rPr>
          <w:rFonts w:ascii="Arial" w:cs="Arial" w:eastAsia="Arial" w:hAnsi="Arial"/>
          <w:color w:val="1A1A18"/>
          <w:sz w:val="22"/>
          <w:szCs w:val="22"/>
        </w:rPr>
        <w:t xml:space="preserve">Architektur 3 ist das visionäre Zielbild — eine KI-first Plattform, bei der jede Domäne eigene KI-Fähigkeiten besitzt, eine zentrale AI-Orchestrierungsschicht LLM-Agenten koordiniert, und die dispDB zum aktiven Datennervensystem mit Echtzeit-Feedback-Loop wird. AXA, Allianz und Zurich pilotieren Komponenten dieser Architektur bereits.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D1C7" w:sz="1"/>
              <w:left w:val="single" w:color="534AB7" w:sz="18"/>
              <w:bottom w:val="single" w:color="D3D1C7" w:sz="1"/>
              <w:right w:val="single" w:color="D3D1C7" w:sz="1"/>
            </w:tcBorders>
            <w:shd w:fill="EEEDFE" w:val="clear"/>
            <w:tcMar>
              <w:top w:type="dxa" w:w="100"/>
              <w:left w:type="dxa" w:w="160"/>
              <w:bottom w:type="dxa" w:w="100"/>
              <w:right w:type="dxa" w:w="160"/>
            </w:tcMar>
          </w:tcPr>
          <w:p>
            <w:pPr>
              <w:spacing w:after="60" w:before="0"/>
            </w:pPr>
            <w:r>
              <w:rPr>
                <w:rFonts w:ascii="Arial" w:cs="Arial" w:eastAsia="Arial" w:hAnsi="Arial"/>
                <w:b/>
                <w:bCs/>
                <w:color w:val="534AB7"/>
                <w:sz w:val="20"/>
                <w:szCs w:val="20"/>
              </w:rPr>
              <w:t xml:space="preserve">Empfehlung: Nordstern (6–10 Jahre)</w:t>
            </w:r>
          </w:p>
          <w:p>
            <w:r>
              <w:rPr>
                <w:rFonts w:ascii="Arial" w:cs="Arial" w:eastAsia="Arial" w:hAnsi="Arial"/>
                <w:color w:val="1A1A18"/>
                <w:sz w:val="20"/>
                <w:szCs w:val="20"/>
              </w:rPr>
              <w:t xml:space="preserve">Einzelne KI-Komponenten (Foto-Schadensschätzung, Churn-Prediction, Sachbearbeiter-Copilot) können bereits heute als Piloten in Architektur 1 eingebettet werden — ohne auf die vollständige Transformation zu warten.</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5.1 AI-Orchestrierungsschicht</w:t>
      </w:r>
    </w:p>
    <w:p>
      <w:pPr>
        <w:spacing w:after="120" w:before="0"/>
      </w:pPr>
      <w:r>
        <w:rPr>
          <w:rFonts w:ascii="Arial" w:cs="Arial" w:eastAsia="Arial" w:hAnsi="Arial"/>
          <w:color w:val="1A1A18"/>
          <w:sz w:val="22"/>
          <w:szCs w:val="22"/>
        </w:rPr>
        <w:t xml:space="preserve">Über dem gesamten System liegt eine AI-Orchestrierungsschicht, die LLM-basierte Agenten koordiniert:</w:t>
      </w:r>
    </w:p>
    <w:p>
      <w:pPr>
        <w:pStyle w:val="ListParagraph"/>
        <w:numPr>
          <w:ilvl w:val="0"/>
          <w:numId w:val="2"/>
        </w:numPr>
        <w:spacing w:after="60" w:before="0"/>
      </w:pPr>
      <w:r>
        <w:rPr>
          <w:rFonts w:ascii="Arial" w:cs="Arial" w:eastAsia="Arial" w:hAnsi="Arial"/>
          <w:color w:val="1A1A18"/>
          <w:sz w:val="22"/>
          <w:szCs w:val="22"/>
        </w:rPr>
        <w:t xml:space="preserve">Azure OpenAI (GPT-4o) — Basis-LLM für Textverarbeitung, Zusammenfassung, Kundenservice</w:t>
      </w:r>
    </w:p>
    <w:p>
      <w:pPr>
        <w:pStyle w:val="ListParagraph"/>
        <w:numPr>
          <w:ilvl w:val="0"/>
          <w:numId w:val="2"/>
        </w:numPr>
        <w:spacing w:after="60" w:before="0"/>
      </w:pPr>
      <w:r>
        <w:rPr>
          <w:rFonts w:ascii="Arial" w:cs="Arial" w:eastAsia="Arial" w:hAnsi="Arial"/>
          <w:color w:val="1A1A18"/>
          <w:sz w:val="22"/>
          <w:szCs w:val="22"/>
        </w:rPr>
        <w:t xml:space="preserve">RAG (Retrieval-Augmented Generation) — LLM liest aus interner Wissensbasis: Policenbedingungen, AGBs, interne Richtlinien</w:t>
      </w:r>
    </w:p>
    <w:p>
      <w:pPr>
        <w:pStyle w:val="ListParagraph"/>
        <w:numPr>
          <w:ilvl w:val="0"/>
          <w:numId w:val="2"/>
        </w:numPr>
        <w:spacing w:after="60" w:before="0"/>
      </w:pPr>
      <w:r>
        <w:rPr>
          <w:rFonts w:ascii="Arial" w:cs="Arial" w:eastAsia="Arial" w:hAnsi="Arial"/>
          <w:color w:val="1A1A18"/>
          <w:sz w:val="22"/>
          <w:szCs w:val="22"/>
        </w:rPr>
        <w:t xml:space="preserve">Sachbearbeiter-Copilot — Auto-Summary eingehender Schadenmeldungen; Vorschläge für Regulierungsstrategie</w:t>
      </w:r>
    </w:p>
    <w:p>
      <w:pPr>
        <w:pStyle w:val="ListParagraph"/>
        <w:numPr>
          <w:ilvl w:val="0"/>
          <w:numId w:val="2"/>
        </w:numPr>
        <w:spacing w:after="60" w:before="0"/>
      </w:pPr>
      <w:r>
        <w:rPr>
          <w:rFonts w:ascii="Arial" w:cs="Arial" w:eastAsia="Arial" w:hAnsi="Arial"/>
          <w:color w:val="1A1A18"/>
          <w:sz w:val="22"/>
          <w:szCs w:val="22"/>
        </w:rPr>
        <w:t xml:space="preserve">Kundenservice-Bot — beantwortet Kundenanfragen (Policenstatus, Deckungsfragen) mit Eskalationslogik an menschlichen Sachbearbeiter</w:t>
      </w:r>
    </w:p>
    <w:p>
      <w:pPr>
        <w:pStyle w:val="ListParagraph"/>
        <w:numPr>
          <w:ilvl w:val="0"/>
          <w:numId w:val="2"/>
        </w:numPr>
        <w:spacing w:after="60" w:before="0"/>
      </w:pPr>
      <w:r>
        <w:rPr>
          <w:rFonts w:ascii="Arial" w:cs="Arial" w:eastAsia="Arial" w:hAnsi="Arial"/>
          <w:color w:val="1A1A18"/>
          <w:sz w:val="22"/>
          <w:szCs w:val="22"/>
        </w:rPr>
        <w:t xml:space="preserve">Tarifberatungs-Agent — generiert individualisierte Angebote basierend auf Kundenprofil + Risikomodell</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5.2 Intelligente Domänen</w:t>
      </w:r>
    </w:p>
    <w:p>
      <w:pPr>
        <w:pStyle w:val="Heading3"/>
        <w:spacing w:after="80" w:before="200"/>
      </w:pPr>
      <w:r>
        <w:rPr>
          <w:rFonts w:ascii="Arial" w:cs="Arial" w:eastAsia="Arial" w:hAnsi="Arial"/>
          <w:b/>
          <w:bCs/>
          <w:color w:val="444441"/>
          <w:sz w:val="22"/>
          <w:szCs w:val="22"/>
        </w:rPr>
        <w:t xml:space="preserve">Policy Domain + KI</w:t>
      </w:r>
    </w:p>
    <w:p>
      <w:pPr>
        <w:pStyle w:val="ListParagraph"/>
        <w:numPr>
          <w:ilvl w:val="0"/>
          <w:numId w:val="2"/>
        </w:numPr>
        <w:spacing w:after="60" w:before="0"/>
      </w:pPr>
      <w:r>
        <w:rPr>
          <w:rFonts w:ascii="Arial" w:cs="Arial" w:eastAsia="Arial" w:hAnsi="Arial"/>
          <w:color w:val="1A1A18"/>
          <w:sz w:val="22"/>
          <w:szCs w:val="22"/>
        </w:rPr>
        <w:t xml:space="preserve">Auto-Underwriting: KI-Modell bewertet Risiko und genehmigt Standardanträge ohne menschliche Intervention (Schwellenwert-basiert, EU AI Act Klasse II)</w:t>
      </w:r>
    </w:p>
    <w:p>
      <w:pPr>
        <w:pStyle w:val="ListParagraph"/>
        <w:numPr>
          <w:ilvl w:val="0"/>
          <w:numId w:val="2"/>
        </w:numPr>
        <w:spacing w:after="60" w:before="0"/>
      </w:pPr>
      <w:r>
        <w:rPr>
          <w:rFonts w:ascii="Arial" w:cs="Arial" w:eastAsia="Arial" w:hAnsi="Arial"/>
          <w:color w:val="1A1A18"/>
          <w:sz w:val="22"/>
          <w:szCs w:val="22"/>
        </w:rPr>
        <w:t xml:space="preserve">Echtzeit-Tarifierung: ML-Modell berechnet individuellen Tarif in unter 100ms (Feature Store aus dispDB)</w:t>
      </w:r>
    </w:p>
    <w:p>
      <w:pPr>
        <w:pStyle w:val="ListParagraph"/>
        <w:numPr>
          <w:ilvl w:val="0"/>
          <w:numId w:val="2"/>
        </w:numPr>
        <w:spacing w:after="60" w:before="0"/>
      </w:pPr>
      <w:r>
        <w:rPr>
          <w:rFonts w:ascii="Arial" w:cs="Arial" w:eastAsia="Arial" w:hAnsi="Arial"/>
          <w:color w:val="1A1A18"/>
          <w:sz w:val="22"/>
          <w:szCs w:val="22"/>
        </w:rPr>
        <w:t xml:space="preserve">Renewals-Optimierung: Modell empfiehlt optimalen Verlängerungsanreiz je Kunde</w:t>
      </w:r>
    </w:p>
    <w:p>
      <w:pPr>
        <w:spacing w:after="80" w:before="0"/>
      </w:pPr>
      <w:r>
        <w:t xml:space="preserve"/>
      </w:r>
    </w:p>
    <w:p>
      <w:pPr>
        <w:pStyle w:val="Heading3"/>
        <w:spacing w:after="80" w:before="200"/>
      </w:pPr>
      <w:r>
        <w:rPr>
          <w:rFonts w:ascii="Arial" w:cs="Arial" w:eastAsia="Arial" w:hAnsi="Arial"/>
          <w:b/>
          <w:bCs/>
          <w:color w:val="444441"/>
          <w:sz w:val="22"/>
          <w:szCs w:val="22"/>
        </w:rPr>
        <w:t xml:space="preserve">Customer Domain + KI</w:t>
      </w:r>
    </w:p>
    <w:p>
      <w:pPr>
        <w:pStyle w:val="ListParagraph"/>
        <w:numPr>
          <w:ilvl w:val="0"/>
          <w:numId w:val="2"/>
        </w:numPr>
        <w:spacing w:after="60" w:before="0"/>
      </w:pPr>
      <w:r>
        <w:rPr>
          <w:rFonts w:ascii="Arial" w:cs="Arial" w:eastAsia="Arial" w:hAnsi="Arial"/>
          <w:color w:val="1A1A18"/>
          <w:sz w:val="22"/>
          <w:szCs w:val="22"/>
        </w:rPr>
        <w:t xml:space="preserve">Churn-Prediction: 90-Tage-Vorhersage, welche Kunden kündigen werden (Gradient Boosting auf dispDB-Historiedaten)</w:t>
      </w:r>
    </w:p>
    <w:p>
      <w:pPr>
        <w:pStyle w:val="ListParagraph"/>
        <w:numPr>
          <w:ilvl w:val="0"/>
          <w:numId w:val="2"/>
        </w:numPr>
        <w:spacing w:after="60" w:before="0"/>
      </w:pPr>
      <w:r>
        <w:rPr>
          <w:rFonts w:ascii="Arial" w:cs="Arial" w:eastAsia="Arial" w:hAnsi="Arial"/>
          <w:color w:val="1A1A18"/>
          <w:sz w:val="22"/>
          <w:szCs w:val="22"/>
        </w:rPr>
        <w:t xml:space="preserve">LTV-Scoring: Lifetime-Value-Schätzung je Kunde; steuert Service-Level-Zuteilung</w:t>
      </w:r>
    </w:p>
    <w:p>
      <w:pPr>
        <w:pStyle w:val="ListParagraph"/>
        <w:numPr>
          <w:ilvl w:val="0"/>
          <w:numId w:val="2"/>
        </w:numPr>
        <w:spacing w:after="60" w:before="0"/>
      </w:pPr>
      <w:r>
        <w:rPr>
          <w:rFonts w:ascii="Arial" w:cs="Arial" w:eastAsia="Arial" w:hAnsi="Arial"/>
          <w:color w:val="1A1A18"/>
          <w:sz w:val="22"/>
          <w:szCs w:val="22"/>
        </w:rPr>
        <w:t xml:space="preserve">Next-Best-Action: personalisierte Empfehlung für Cross-Selling oder Up-Selling</w:t>
      </w:r>
    </w:p>
    <w:p>
      <w:pPr>
        <w:spacing w:after="80" w:before="0"/>
      </w:pPr>
      <w:r>
        <w:t xml:space="preserve"/>
      </w:r>
    </w:p>
    <w:p>
      <w:pPr>
        <w:pStyle w:val="Heading3"/>
        <w:spacing w:after="80" w:before="200"/>
      </w:pPr>
      <w:r>
        <w:rPr>
          <w:rFonts w:ascii="Arial" w:cs="Arial" w:eastAsia="Arial" w:hAnsi="Arial"/>
          <w:b/>
          <w:bCs/>
          <w:color w:val="444441"/>
          <w:sz w:val="22"/>
          <w:szCs w:val="22"/>
        </w:rPr>
        <w:t xml:space="preserve">Claims Domain + KI</w:t>
      </w:r>
    </w:p>
    <w:p>
      <w:pPr>
        <w:pStyle w:val="ListParagraph"/>
        <w:numPr>
          <w:ilvl w:val="0"/>
          <w:numId w:val="2"/>
        </w:numPr>
        <w:spacing w:after="60" w:before="0"/>
      </w:pPr>
      <w:r>
        <w:rPr>
          <w:rFonts w:ascii="Arial" w:cs="Arial" w:eastAsia="Arial" w:hAnsi="Arial"/>
          <w:color w:val="1A1A18"/>
          <w:sz w:val="22"/>
          <w:szCs w:val="22"/>
        </w:rPr>
        <w:t xml:space="preserve">Foto-Schadensschätzung: Kunde fotografiert Schaden via App; KI-Modell schätzt Reparaturkosten (Azure Computer Vision)</w:t>
      </w:r>
    </w:p>
    <w:p>
      <w:pPr>
        <w:pStyle w:val="ListParagraph"/>
        <w:numPr>
          <w:ilvl w:val="0"/>
          <w:numId w:val="2"/>
        </w:numPr>
        <w:spacing w:after="60" w:before="0"/>
      </w:pPr>
      <w:r>
        <w:rPr>
          <w:rFonts w:ascii="Arial" w:cs="Arial" w:eastAsia="Arial" w:hAnsi="Arial"/>
          <w:color w:val="1A1A18"/>
          <w:sz w:val="22"/>
          <w:szCs w:val="22"/>
        </w:rPr>
        <w:t xml:space="preserve">Fraud-Score: jede Schadenmeldung erhält einen Betrugsscore; Hochrisiko-Fälle werden automatisch in manuelle Prüfung geleitet</w:t>
      </w:r>
    </w:p>
    <w:p>
      <w:pPr>
        <w:pStyle w:val="ListParagraph"/>
        <w:numPr>
          <w:ilvl w:val="0"/>
          <w:numId w:val="2"/>
        </w:numPr>
        <w:spacing w:after="60" w:before="0"/>
      </w:pPr>
      <w:r>
        <w:rPr>
          <w:rFonts w:ascii="Arial" w:cs="Arial" w:eastAsia="Arial" w:hAnsi="Arial"/>
          <w:color w:val="1A1A18"/>
          <w:sz w:val="22"/>
          <w:szCs w:val="22"/>
        </w:rPr>
        <w:t xml:space="preserve">First Notice of Loss Automation: einfache Standardschäden werden vollautomatisch reguliert</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5.3 dispDB als aktives Datennervensystem</w:t>
      </w:r>
    </w:p>
    <w:p>
      <w:pPr>
        <w:spacing w:after="120" w:before="0"/>
      </w:pPr>
      <w:r>
        <w:rPr>
          <w:rFonts w:ascii="Arial" w:cs="Arial" w:eastAsia="Arial" w:hAnsi="Arial"/>
          <w:color w:val="1A1A18"/>
          <w:sz w:val="22"/>
          <w:szCs w:val="22"/>
        </w:rPr>
        <w:t xml:space="preserve">In Architektur 3 ist die dispDB nicht mehr nur ein Reporting-System, sondern ein aktiver Teilnehmer im operativen Betrieb:</w:t>
      </w:r>
    </w:p>
    <w:p>
      <w:pPr>
        <w:pStyle w:val="ListParagraph"/>
        <w:numPr>
          <w:ilvl w:val="0"/>
          <w:numId w:val="2"/>
        </w:numPr>
        <w:spacing w:after="60" w:before="0"/>
      </w:pPr>
      <w:r>
        <w:rPr>
          <w:rFonts w:ascii="Arial" w:cs="Arial" w:eastAsia="Arial" w:hAnsi="Arial"/>
          <w:color w:val="1A1A18"/>
          <w:sz w:val="22"/>
          <w:szCs w:val="22"/>
        </w:rPr>
        <w:t xml:space="preserve">Feature Store (Databricks Feature Engineering): berechnete Features (Kundenalter, Bestandsdauer, Schadensquote) werden für ML-Modelle vorberechnet und gecacht</w:t>
      </w:r>
    </w:p>
    <w:p>
      <w:pPr>
        <w:pStyle w:val="ListParagraph"/>
        <w:numPr>
          <w:ilvl w:val="0"/>
          <w:numId w:val="2"/>
        </w:numPr>
        <w:spacing w:after="60" w:before="0"/>
      </w:pPr>
      <w:r>
        <w:rPr>
          <w:rFonts w:ascii="Arial" w:cs="Arial" w:eastAsia="Arial" w:hAnsi="Arial"/>
          <w:color w:val="1A1A18"/>
          <w:sz w:val="22"/>
          <w:szCs w:val="22"/>
        </w:rPr>
        <w:t xml:space="preserve">MLflow Modell-Registry (Databricks): alle Produktionsmodelle sind versioniert, mit A/B-Testing-Fähigkeit</w:t>
      </w:r>
    </w:p>
    <w:p>
      <w:pPr>
        <w:pStyle w:val="ListParagraph"/>
        <w:numPr>
          <w:ilvl w:val="0"/>
          <w:numId w:val="2"/>
        </w:numPr>
        <w:spacing w:after="60" w:before="0"/>
      </w:pPr>
      <w:r>
        <w:rPr>
          <w:rFonts w:ascii="Arial" w:cs="Arial" w:eastAsia="Arial" w:hAnsi="Arial"/>
          <w:color w:val="1A1A18"/>
          <w:sz w:val="22"/>
          <w:szCs w:val="22"/>
        </w:rPr>
        <w:t xml:space="preserve">Drift-Monitoring: automatische Erkennung wenn Produktionsdaten vom Trainingsdatenmuster abweichen</w:t>
      </w:r>
    </w:p>
    <w:p>
      <w:pPr>
        <w:pStyle w:val="ListParagraph"/>
        <w:numPr>
          <w:ilvl w:val="0"/>
          <w:numId w:val="2"/>
        </w:numPr>
        <w:spacing w:after="60" w:before="0"/>
      </w:pPr>
      <w:r>
        <w:rPr>
          <w:rFonts w:ascii="Arial" w:cs="Arial" w:eastAsia="Arial" w:hAnsi="Arial"/>
          <w:color w:val="1A1A18"/>
          <w:sz w:val="22"/>
          <w:szCs w:val="22"/>
        </w:rPr>
        <w:t xml:space="preserve">Feedback-Loop: KI-Modell-Ergebnisse (Scores, Preise, Empfehlungen) fließen als Events zurück in Domain-Services</w:t>
      </w:r>
    </w:p>
    <w:p>
      <w:pPr>
        <w:spacing w:after="80" w:before="0"/>
      </w:pPr>
      <w:r>
        <w:t xml:space="preserve"/>
      </w:r>
    </w:p>
    <w:p>
      <w:pPr>
        <w:pBdr>
          <w:left w:val="single" w:color="993C1D" w:sz="12"/>
        </w:pBdr>
        <w:shd w:fill="FAECE7" w:val="clear"/>
        <w:spacing w:after="140" w:before="140"/>
        <w:ind w:left="280" w:right="280"/>
      </w:pPr>
      <w:r>
        <w:rPr>
          <w:rFonts w:ascii="Arial" w:cs="Arial" w:eastAsia="Arial" w:hAnsi="Arial"/>
          <w:i/>
          <w:iCs/>
          <w:color w:val="1A1A18"/>
          <w:sz w:val="20"/>
          <w:szCs w:val="20"/>
        </w:rPr>
        <w:t xml:space="preserve">EU AI Act Compliance (ab 2025 verpflichtend): Tarifierungsmodelle gelten als Hochrisiko-KI (Art. 6). Anforderungen: Explainability-Pflicht, Human-in-the-Loop für Ablehnungsentscheidungen, Dokumentation aller Trainingsdaten, Bias-Monitoring, Model Risk Management Framework.</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5.4 Neue Produktformen</w:t>
      </w:r>
    </w:p>
    <w:p>
      <w:pPr>
        <w:pStyle w:val="ListParagraph"/>
        <w:numPr>
          <w:ilvl w:val="0"/>
          <w:numId w:val="2"/>
        </w:numPr>
        <w:spacing w:after="60" w:before="0"/>
      </w:pPr>
      <w:r>
        <w:rPr>
          <w:rFonts w:ascii="Arial" w:cs="Arial" w:eastAsia="Arial" w:hAnsi="Arial"/>
          <w:color w:val="1A1A18"/>
          <w:sz w:val="22"/>
          <w:szCs w:val="22"/>
        </w:rPr>
        <w:t xml:space="preserve">Parametrische Versicherung: Trigger aus externen Sensoren oder Wetterdaten → automatische Auszahlung ohne Schadensmeldung</w:t>
      </w:r>
    </w:p>
    <w:p>
      <w:pPr>
        <w:pStyle w:val="ListParagraph"/>
        <w:numPr>
          <w:ilvl w:val="0"/>
          <w:numId w:val="2"/>
        </w:numPr>
        <w:spacing w:after="60" w:before="0"/>
      </w:pPr>
      <w:r>
        <w:rPr>
          <w:rFonts w:ascii="Arial" w:cs="Arial" w:eastAsia="Arial" w:hAnsi="Arial"/>
          <w:color w:val="1A1A18"/>
          <w:sz w:val="22"/>
          <w:szCs w:val="22"/>
        </w:rPr>
        <w:t xml:space="preserve">Telematik / IoT: Kfz-Telematik, Smart-Home-Sensoren → Echtzeit-Risikobewertung → dynamischer Tarif</w:t>
      </w:r>
    </w:p>
    <w:p>
      <w:pPr>
        <w:pStyle w:val="ListParagraph"/>
        <w:numPr>
          <w:ilvl w:val="0"/>
          <w:numId w:val="2"/>
        </w:numPr>
        <w:spacing w:after="60" w:before="0"/>
      </w:pPr>
      <w:r>
        <w:rPr>
          <w:rFonts w:ascii="Arial" w:cs="Arial" w:eastAsia="Arial" w:hAnsi="Arial"/>
          <w:color w:val="1A1A18"/>
          <w:sz w:val="22"/>
          <w:szCs w:val="22"/>
        </w:rPr>
        <w:t xml:space="preserve">Usage-Based Insurance (UBI): Tarif basiert auf tatsächlicher Nutzung (km-Tarif, Freizeitunfall-Police)</w:t>
      </w:r>
    </w:p>
    <w:p>
      <w:pPr>
        <w:pStyle w:val="ListParagraph"/>
        <w:numPr>
          <w:ilvl w:val="0"/>
          <w:numId w:val="2"/>
        </w:numPr>
        <w:spacing w:after="60" w:before="0"/>
      </w:pPr>
      <w:r>
        <w:rPr>
          <w:rFonts w:ascii="Arial" w:cs="Arial" w:eastAsia="Arial" w:hAnsi="Arial"/>
          <w:color w:val="1A1A18"/>
          <w:sz w:val="22"/>
          <w:szCs w:val="22"/>
        </w:rPr>
        <w:t xml:space="preserve">Embedded Insurance via API: Versicherungsprodukte werden in Partner-Plattformen (Reisebüro, Autohändler, Onlineshop) eingebettet</w:t>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6. Developer Experience und internes API-Portal</w:t>
      </w:r>
    </w:p>
    <w:p>
      <w:pPr>
        <w:spacing w:after="120" w:before="0"/>
      </w:pPr>
      <w:r>
        <w:rPr>
          <w:rFonts w:ascii="Arial" w:cs="Arial" w:eastAsia="Arial" w:hAnsi="Arial"/>
          <w:color w:val="1A1A18"/>
          <w:sz w:val="22"/>
          <w:szCs w:val="22"/>
        </w:rPr>
        <w:t xml:space="preserve">Developer Experience (DX) bezeichnet die Einfachheit und Effizienz, mit der interne Teams neue Funktionen auf Basis vorhandener Systemfähigkeiten entwickeln können. Ein schlechtes DX ist einer der Hauptgründe für technische Schulden — Teams entwickeln Workarounds statt auf Plattformfähigkeiten aufzubauen.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6.1 Das interne API-Portal (Azure APIM Developer Portal)</w:t>
      </w:r>
    </w:p>
    <w:p>
      <w:pPr>
        <w:spacing w:after="120" w:before="0"/>
      </w:pPr>
      <w:r>
        <w:rPr>
          <w:rFonts w:ascii="Arial" w:cs="Arial" w:eastAsia="Arial" w:hAnsi="Arial"/>
          <w:color w:val="1A1A18"/>
          <w:sz w:val="22"/>
          <w:szCs w:val="22"/>
        </w:rPr>
        <w:t xml:space="preserve">Azure APIM beinhaltet ein vollständiges Developer Portal, das intern wie extern nutzbar ist:</w:t>
      </w:r>
    </w:p>
    <w:p>
      <w:pPr>
        <w:pStyle w:val="ListParagraph"/>
        <w:numPr>
          <w:ilvl w:val="0"/>
          <w:numId w:val="2"/>
        </w:numPr>
        <w:spacing w:after="60" w:before="0"/>
      </w:pPr>
      <w:r>
        <w:rPr>
          <w:rFonts w:ascii="Arial" w:cs="Arial" w:eastAsia="Arial" w:hAnsi="Arial"/>
          <w:color w:val="1A1A18"/>
          <w:sz w:val="22"/>
          <w:szCs w:val="22"/>
        </w:rPr>
        <w:t xml:space="preserve">API-Katalog: alle internen APIs sind durchsuchbar; Swagger/OpenAPI-Dokumentation automatisch generiert</w:t>
      </w:r>
    </w:p>
    <w:p>
      <w:pPr>
        <w:pStyle w:val="ListParagraph"/>
        <w:numPr>
          <w:ilvl w:val="0"/>
          <w:numId w:val="2"/>
        </w:numPr>
        <w:spacing w:after="60" w:before="0"/>
      </w:pPr>
      <w:r>
        <w:rPr>
          <w:rFonts w:ascii="Arial" w:cs="Arial" w:eastAsia="Arial" w:hAnsi="Arial"/>
          <w:color w:val="1A1A18"/>
          <w:sz w:val="22"/>
          <w:szCs w:val="22"/>
        </w:rPr>
        <w:t xml:space="preserve">Self-Service: ein Team abonniert eine API ohne Ticket — API-Key in Minuten verfügbar</w:t>
      </w:r>
    </w:p>
    <w:p>
      <w:pPr>
        <w:pStyle w:val="ListParagraph"/>
        <w:numPr>
          <w:ilvl w:val="0"/>
          <w:numId w:val="2"/>
        </w:numPr>
        <w:spacing w:after="60" w:before="0"/>
      </w:pPr>
      <w:r>
        <w:rPr>
          <w:rFonts w:ascii="Arial" w:cs="Arial" w:eastAsia="Arial" w:hAnsi="Arial"/>
          <w:color w:val="1A1A18"/>
          <w:sz w:val="22"/>
          <w:szCs w:val="22"/>
        </w:rPr>
        <w:t xml:space="preserve">Sandbox: Testumgebung für jede API, ohne Produktionsdaten zu berühren</w:t>
      </w:r>
    </w:p>
    <w:p>
      <w:pPr>
        <w:pStyle w:val="ListParagraph"/>
        <w:numPr>
          <w:ilvl w:val="0"/>
          <w:numId w:val="2"/>
        </w:numPr>
        <w:spacing w:after="60" w:before="0"/>
      </w:pPr>
      <w:r>
        <w:rPr>
          <w:rFonts w:ascii="Arial" w:cs="Arial" w:eastAsia="Arial" w:hAnsi="Arial"/>
          <w:color w:val="1A1A18"/>
          <w:sz w:val="22"/>
          <w:szCs w:val="22"/>
        </w:rPr>
        <w:t xml:space="preserve">Versionierung: v1 und v2 einer API können parallel betrieben werden — Breaking Changes ohne Downtime</w:t>
      </w:r>
    </w:p>
    <w:p>
      <w:pPr>
        <w:pStyle w:val="ListParagraph"/>
        <w:numPr>
          <w:ilvl w:val="0"/>
          <w:numId w:val="2"/>
        </w:numPr>
        <w:spacing w:after="60" w:before="0"/>
      </w:pPr>
      <w:r>
        <w:rPr>
          <w:rFonts w:ascii="Arial" w:cs="Arial" w:eastAsia="Arial" w:hAnsi="Arial"/>
          <w:color w:val="1A1A18"/>
          <w:sz w:val="22"/>
          <w:szCs w:val="22"/>
        </w:rPr>
        <w:t xml:space="preserve">Rate Limits, Auth, Logging: zentral konfiguriert, kein Team-Eigenaufwand</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6.2 Interne APIs — Beispielkatalog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480"/>
        <w:gridCol w:w="2480"/>
      </w:tblGrid>
      <w:tr>
        <w:tc>
          <w:tcPr>
            <w:tcW w:type="dxa" w:w="21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API-Name</w:t>
            </w:r>
          </w:p>
        </w:tc>
        <w:tc>
          <w:tcPr>
            <w:tcW w:type="dxa" w:w="23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Eigentümer</w:t>
            </w:r>
          </w:p>
        </w:tc>
        <w:tc>
          <w:tcPr>
            <w:tcW w:type="dxa" w:w="24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Endpoints (Beispiele)</w:t>
            </w:r>
          </w:p>
        </w:tc>
        <w:tc>
          <w:tcPr>
            <w:tcW w:type="dxa" w:w="24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Konsumenten</w:t>
            </w:r>
          </w:p>
        </w:tc>
      </w:tr>
      <w:tr>
        <w:tc>
          <w:tcPr>
            <w:tcW w:type="dxa" w:w="21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Policy NL API</w:t>
            </w:r>
          </w:p>
        </w:tc>
        <w:tc>
          <w:tcPr>
            <w:tcW w:type="dxa" w:w="23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Policy NL Domain (AS/400-Adapter)</w:t>
            </w:r>
          </w:p>
        </w:tc>
        <w:tc>
          <w:tcPr>
            <w:tcW w:type="dxa" w:w="2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GET /policy/{nr}, GET /policy/bestand, POST /policy/address-change</w:t>
            </w:r>
          </w:p>
        </w:tc>
        <w:tc>
          <w:tcPr>
            <w:tcW w:type="dxa" w:w="2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Kundenportal, Sachbearb.-FE, dispDB, BiPRO</w:t>
            </w:r>
          </w:p>
        </w:tc>
      </w:tr>
      <w:tr>
        <w:tc>
          <w:tcPr>
            <w:tcW w:type="dxa" w:w="21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Policy L API</w:t>
            </w:r>
          </w:p>
        </w:tc>
        <w:tc>
          <w:tcPr>
            <w:tcW w:type="dxa" w:w="23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Policy L Domain (Oracle-Adapter)</w:t>
            </w:r>
          </w:p>
        </w:tc>
        <w:tc>
          <w:tcPr>
            <w:tcW w:type="dxa" w:w="2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GET /life/{nr}, GET /life/neugeschaeft, POST /life/update</w:t>
            </w:r>
          </w:p>
        </w:tc>
        <w:tc>
          <w:tcPr>
            <w:tcW w:type="dxa" w:w="2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Kundenportal, Sachbearb.-FE, dispDB</w:t>
            </w:r>
          </w:p>
        </w:tc>
      </w:tr>
      <w:tr>
        <w:tc>
          <w:tcPr>
            <w:tcW w:type="dxa" w:w="21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Partner API</w:t>
            </w:r>
          </w:p>
        </w:tc>
        <w:tc>
          <w:tcPr>
            <w:tcW w:type="dxa" w:w="23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Partner Domain (Cobra-Adapter)</w:t>
            </w:r>
          </w:p>
        </w:tc>
        <w:tc>
          <w:tcPr>
            <w:tcW w:type="dxa" w:w="2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GET /partner/{id}, GET /partner/search, POST /partner/register, PATCH /partner/{id}/status</w:t>
            </w:r>
          </w:p>
        </w:tc>
        <w:tc>
          <w:tcPr>
            <w:tcW w:type="dxa" w:w="2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BiPRO/X4, Kundenportal, dispDB</w:t>
            </w:r>
          </w:p>
        </w:tc>
      </w:tr>
      <w:tr>
        <w:tc>
          <w:tcPr>
            <w:tcW w:type="dxa" w:w="21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Claims API</w:t>
            </w:r>
          </w:p>
        </w:tc>
        <w:tc>
          <w:tcPr>
            <w:tcW w:type="dxa" w:w="23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Claims Domain</w:t>
            </w:r>
          </w:p>
        </w:tc>
        <w:tc>
          <w:tcPr>
            <w:tcW w:type="dxa" w:w="2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POST /claim/file, GET /claim/{id}/status, PATCH /claim/{id}/settle</w:t>
            </w:r>
          </w:p>
        </w:tc>
        <w:tc>
          <w:tcPr>
            <w:tcW w:type="dxa" w:w="2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Kundenportal, Sachbearb.-FE, dispDB</w:t>
            </w:r>
          </w:p>
        </w:tc>
      </w:tr>
      <w:tr>
        <w:tc>
          <w:tcPr>
            <w:tcW w:type="dxa" w:w="21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Address Check API</w:t>
            </w:r>
          </w:p>
        </w:tc>
        <w:tc>
          <w:tcPr>
            <w:tcW w:type="dxa" w:w="23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Ext.-Dienste-Adapter (ABIS)</w:t>
            </w:r>
          </w:p>
        </w:tc>
        <w:tc>
          <w:tcPr>
            <w:tcW w:type="dxa" w:w="2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POST /address/validate, GET /address/normalize</w:t>
            </w:r>
          </w:p>
        </w:tc>
        <w:tc>
          <w:tcPr>
            <w:tcW w:type="dxa" w:w="24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Kundenportal, Partner Domain, Policy-Domains</w:t>
            </w:r>
          </w:p>
        </w:tc>
      </w:tr>
      <w:tr>
        <w:tc>
          <w:tcPr>
            <w:tcW w:type="dxa" w:w="21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Geo Risk API</w:t>
            </w:r>
          </w:p>
        </w:tc>
        <w:tc>
          <w:tcPr>
            <w:tcW w:type="dxa" w:w="23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Ext.-Dienste-Adapter (ZürsGeo)</w:t>
            </w:r>
          </w:p>
        </w:tc>
        <w:tc>
          <w:tcPr>
            <w:tcW w:type="dxa" w:w="2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GET /georisk/zone?plz={plz}, GET /georisk/flood-zone</w:t>
            </w:r>
          </w:p>
        </w:tc>
        <w:tc>
          <w:tcPr>
            <w:tcW w:type="dxa" w:w="24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Policy NL Domain (Tarifierung), dispDB</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6.3 Wie DX die Cobra-Situation löst</w:t>
      </w:r>
    </w:p>
    <w:p>
      <w:pPr>
        <w:spacing w:after="120" w:before="0"/>
      </w:pPr>
      <w:r>
        <w:rPr>
          <w:rFonts w:ascii="Arial" w:cs="Arial" w:eastAsia="Arial" w:hAnsi="Arial"/>
          <w:color w:val="1A1A18"/>
          <w:sz w:val="22"/>
          <w:szCs w:val="22"/>
        </w:rPr>
        <w:t xml:space="preserve">Heute: AS/400 exportiert täglich eine CSV-Datei → manueller Import in Cobra → Cobra-Daten immer mit mindestens 24h Verzug. Fehler im CSV führen zu inkonsistenten Maklerdaten. Kein Audit-Trail.</w:t>
      </w:r>
    </w:p>
    <w:p>
      <w:pPr>
        <w:spacing w:after="80" w:before="0"/>
      </w:pPr>
      <w:r>
        <w:t xml:space="preserve"/>
      </w:r>
    </w:p>
    <w:p>
      <w:pPr>
        <w:spacing w:after="120" w:before="0"/>
      </w:pPr>
      <w:r>
        <w:rPr>
          <w:rFonts w:ascii="Arial" w:cs="Arial" w:eastAsia="Arial" w:hAnsi="Arial"/>
          <w:color w:val="1A1A18"/>
          <w:sz w:val="22"/>
          <w:szCs w:val="22"/>
        </w:rPr>
        <w:t xml:space="preserve">Morgen mit API-Portal:</w:t>
      </w:r>
    </w:p>
    <w:p>
      <w:pPr>
        <w:pStyle w:val="ListParagraph"/>
        <w:numPr>
          <w:ilvl w:val="0"/>
          <w:numId w:val="2"/>
        </w:numPr>
        <w:spacing w:after="60" w:before="0"/>
      </w:pPr>
      <w:r>
        <w:rPr>
          <w:rFonts w:ascii="Arial" w:cs="Arial" w:eastAsia="Arial" w:hAnsi="Arial"/>
          <w:color w:val="1A1A18"/>
          <w:sz w:val="22"/>
          <w:szCs w:val="22"/>
        </w:rPr>
        <w:t xml:space="preserve">Cobra liest Policen-Bestandsdaten über Policy NL API und Policy L API (Self-Service, kein Ticket)</w:t>
      </w:r>
    </w:p>
    <w:p>
      <w:pPr>
        <w:pStyle w:val="ListParagraph"/>
        <w:numPr>
          <w:ilvl w:val="0"/>
          <w:numId w:val="2"/>
        </w:numPr>
        <w:spacing w:after="60" w:before="0"/>
      </w:pPr>
      <w:r>
        <w:rPr>
          <w:rFonts w:ascii="Arial" w:cs="Arial" w:eastAsia="Arial" w:hAnsi="Arial"/>
          <w:color w:val="1A1A18"/>
          <w:sz w:val="22"/>
          <w:szCs w:val="22"/>
        </w:rPr>
        <w:t xml:space="preserve">Cobra publiziert Maklerregistrierungen als Events auf den Bus (partner.registered)</w:t>
      </w:r>
    </w:p>
    <w:p>
      <w:pPr>
        <w:pStyle w:val="ListParagraph"/>
        <w:numPr>
          <w:ilvl w:val="0"/>
          <w:numId w:val="2"/>
        </w:numPr>
        <w:spacing w:after="60" w:before="0"/>
      </w:pPr>
      <w:r>
        <w:rPr>
          <w:rFonts w:ascii="Arial" w:cs="Arial" w:eastAsia="Arial" w:hAnsi="Arial"/>
          <w:color w:val="1A1A18"/>
          <w:sz w:val="22"/>
          <w:szCs w:val="22"/>
        </w:rPr>
        <w:t xml:space="preserve">Adressprüfung (ABIS) läuft on-demand via Address Check API — nicht mehr als Batch</w:t>
      </w:r>
    </w:p>
    <w:p>
      <w:pPr>
        <w:pStyle w:val="ListParagraph"/>
        <w:numPr>
          <w:ilvl w:val="0"/>
          <w:numId w:val="2"/>
        </w:numPr>
        <w:spacing w:after="60" w:before="0"/>
      </w:pPr>
      <w:r>
        <w:rPr>
          <w:rFonts w:ascii="Arial" w:cs="Arial" w:eastAsia="Arial" w:hAnsi="Arial"/>
          <w:color w:val="1A1A18"/>
          <w:sz w:val="22"/>
          <w:szCs w:val="22"/>
        </w:rPr>
        <w:t xml:space="preserve">Vollständiger Audit-Trail: APIM loggt jeden API-Aufruf mit Timestamp, Caller, Response-Code</w:t>
      </w:r>
    </w:p>
    <w:p>
      <w:pPr>
        <w:pBdr>
          <w:left w:val="single" w:color="1D9E75" w:sz="12"/>
        </w:pBdr>
        <w:shd w:fill="E1F5EE" w:val="clear"/>
        <w:spacing w:after="140" w:before="140"/>
        <w:ind w:left="280" w:right="280"/>
      </w:pPr>
      <w:r>
        <w:rPr>
          <w:rFonts w:ascii="Arial" w:cs="Arial" w:eastAsia="Arial" w:hAnsi="Arial"/>
          <w:i/>
          <w:iCs/>
          <w:color w:val="1A1A18"/>
          <w:sz w:val="20"/>
          <w:szCs w:val="20"/>
        </w:rPr>
        <w:t xml:space="preserve">Das Developer Portal ist auch für externe Partner (Makler, Rückversicherer) nutzbar — mit separatem Produktkatalog und strengeren Rate-Limits. BiPRO-Partner erhalten dedizierte API-Subscriptions.</w:t>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7. Data-Mesh-Philosophie und dispDB</w:t>
      </w:r>
    </w:p>
    <w:p>
      <w:pPr>
        <w:pStyle w:val="Heading2"/>
        <w:spacing w:after="120" w:before="280"/>
      </w:pPr>
      <w:r>
        <w:rPr>
          <w:rFonts w:ascii="Arial" w:cs="Arial" w:eastAsia="Arial" w:hAnsi="Arial"/>
          <w:b/>
          <w:bCs/>
          <w:color w:val="185FA5"/>
          <w:sz w:val="26"/>
          <w:szCs w:val="26"/>
        </w:rPr>
        <w:t xml:space="preserve">7.1 Das Problem mit klassischen Data Warehouses</w:t>
      </w:r>
    </w:p>
    <w:p>
      <w:pPr>
        <w:spacing w:after="120" w:before="0"/>
      </w:pPr>
      <w:r>
        <w:rPr>
          <w:rFonts w:ascii="Arial" w:cs="Arial" w:eastAsia="Arial" w:hAnsi="Arial"/>
          <w:color w:val="1A1A18"/>
          <w:sz w:val="22"/>
          <w:szCs w:val="22"/>
        </w:rPr>
        <w:t xml:space="preserve">Ein klassisches Data Warehouse sammelt alle Unternehmensdaten in einem zentralen Repository, das von einem zentralen Data-Team verwaltet wird. In der Praxis führt das zu:</w:t>
      </w:r>
    </w:p>
    <w:p>
      <w:pPr>
        <w:pStyle w:val="ListParagraph"/>
        <w:numPr>
          <w:ilvl w:val="0"/>
          <w:numId w:val="2"/>
        </w:numPr>
        <w:spacing w:after="60" w:before="0"/>
      </w:pPr>
      <w:r>
        <w:rPr>
          <w:rFonts w:ascii="Arial" w:cs="Arial" w:eastAsia="Arial" w:hAnsi="Arial"/>
          <w:color w:val="1A1A18"/>
          <w:sz w:val="22"/>
          <w:szCs w:val="22"/>
        </w:rPr>
        <w:t xml:space="preserve">Flaschenhals: Das Data-Team versteht Policendaten schlechter als das Policy-Team — Qualitätsprobleme werden spät erkannt</w:t>
      </w:r>
    </w:p>
    <w:p>
      <w:pPr>
        <w:pStyle w:val="ListParagraph"/>
        <w:numPr>
          <w:ilvl w:val="0"/>
          <w:numId w:val="2"/>
        </w:numPr>
        <w:spacing w:after="60" w:before="0"/>
      </w:pPr>
      <w:r>
        <w:rPr>
          <w:rFonts w:ascii="Arial" w:cs="Arial" w:eastAsia="Arial" w:hAnsi="Arial"/>
          <w:color w:val="1A1A18"/>
          <w:sz w:val="22"/>
          <w:szCs w:val="22"/>
        </w:rPr>
        <w:t xml:space="preserve">Ticket-Kultur: jede neue Analyse erfordert einen Auftrag ans Data-Team</w:t>
      </w:r>
    </w:p>
    <w:p>
      <w:pPr>
        <w:pStyle w:val="ListParagraph"/>
        <w:numPr>
          <w:ilvl w:val="0"/>
          <w:numId w:val="2"/>
        </w:numPr>
        <w:spacing w:after="60" w:before="0"/>
      </w:pPr>
      <w:r>
        <w:rPr>
          <w:rFonts w:ascii="Arial" w:cs="Arial" w:eastAsia="Arial" w:hAnsi="Arial"/>
          <w:color w:val="1A1A18"/>
          <w:sz w:val="22"/>
          <w:szCs w:val="22"/>
        </w:rPr>
        <w:t xml:space="preserve">Verantwortungsdiffusion: wenn Policendaten falsch sind, ist es "das Problem des Data-Teams"</w:t>
      </w:r>
    </w:p>
    <w:p>
      <w:pPr>
        <w:pStyle w:val="ListParagraph"/>
        <w:numPr>
          <w:ilvl w:val="0"/>
          <w:numId w:val="2"/>
        </w:numPr>
        <w:spacing w:after="60" w:before="0"/>
      </w:pPr>
      <w:r>
        <w:rPr>
          <w:rFonts w:ascii="Arial" w:cs="Arial" w:eastAsia="Arial" w:hAnsi="Arial"/>
          <w:color w:val="1A1A18"/>
          <w:sz w:val="22"/>
          <w:szCs w:val="22"/>
        </w:rPr>
        <w:t xml:space="preserve">Monolithisches Schema: eine Schemaänderung bricht alle abhängigen Berichte</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7.2 Die vier Prinzipien des Data Mesh</w:t>
      </w:r>
    </w:p>
    <w:p>
      <w:pPr>
        <w:pStyle w:val="Heading3"/>
        <w:spacing w:after="80" w:before="200"/>
      </w:pPr>
      <w:r>
        <w:rPr>
          <w:rFonts w:ascii="Arial" w:cs="Arial" w:eastAsia="Arial" w:hAnsi="Arial"/>
          <w:b/>
          <w:bCs/>
          <w:color w:val="444441"/>
          <w:sz w:val="22"/>
          <w:szCs w:val="22"/>
        </w:rPr>
        <w:t xml:space="preserve">Prinzip 1: Domänen-Eigenverantwortung (Domain Ownership)</w:t>
      </w:r>
    </w:p>
    <w:p>
      <w:pPr>
        <w:spacing w:after="120" w:before="0"/>
      </w:pPr>
      <w:r>
        <w:rPr>
          <w:rFonts w:ascii="Arial" w:cs="Arial" w:eastAsia="Arial" w:hAnsi="Arial"/>
          <w:color w:val="1A1A18"/>
          <w:sz w:val="22"/>
          <w:szCs w:val="22"/>
        </w:rPr>
        <w:t xml:space="preserve">Jede fachliche Domäne ist Eigentümer ihrer Daten — nicht das Data-Team. Das Policy-Team definiert das Schema der Policen-Datentabellen, setzt Qualitätsregeln und ist verantwortlich, wenn die Daten fehlerhaft sind. Die dispDB stellt die Infrastruktur bereit, bestimmt aber nicht den Inhalt.</w:t>
      </w:r>
    </w:p>
    <w:p>
      <w:pPr>
        <w:spacing w:after="80" w:before="0"/>
      </w:pPr>
      <w:r>
        <w:t xml:space="preserve"/>
      </w:r>
    </w:p>
    <w:p>
      <w:pPr>
        <w:pStyle w:val="Heading3"/>
        <w:spacing w:after="80" w:before="200"/>
      </w:pPr>
      <w:r>
        <w:rPr>
          <w:rFonts w:ascii="Arial" w:cs="Arial" w:eastAsia="Arial" w:hAnsi="Arial"/>
          <w:b/>
          <w:bCs/>
          <w:color w:val="444441"/>
          <w:sz w:val="22"/>
          <w:szCs w:val="22"/>
        </w:rPr>
        <w:t xml:space="preserve">Prinzip 2: Daten als Produkt (Data as a Product)</w:t>
      </w:r>
    </w:p>
    <w:p>
      <w:pPr>
        <w:spacing w:after="120" w:before="0"/>
      </w:pPr>
      <w:r>
        <w:rPr>
          <w:rFonts w:ascii="Arial" w:cs="Arial" w:eastAsia="Arial" w:hAnsi="Arial"/>
          <w:color w:val="1A1A18"/>
          <w:sz w:val="22"/>
          <w:szCs w:val="22"/>
        </w:rPr>
        <w:t xml:space="preserve">Ein Datenprodukt ist kein Rohdaten-Dump. Es hat:</w:t>
      </w:r>
    </w:p>
    <w:p>
      <w:pPr>
        <w:pStyle w:val="ListParagraph"/>
        <w:numPr>
          <w:ilvl w:val="0"/>
          <w:numId w:val="2"/>
        </w:numPr>
        <w:spacing w:after="60" w:before="0"/>
      </w:pPr>
      <w:r>
        <w:rPr>
          <w:rFonts w:ascii="Arial" w:cs="Arial" w:eastAsia="Arial" w:hAnsi="Arial"/>
          <w:color w:val="1A1A18"/>
          <w:sz w:val="22"/>
          <w:szCs w:val="22"/>
        </w:rPr>
        <w:t xml:space="preserve">Einen definierten Namen und ein stabiles Schema (backward-compatible)</w:t>
      </w:r>
    </w:p>
    <w:p>
      <w:pPr>
        <w:pStyle w:val="ListParagraph"/>
        <w:numPr>
          <w:ilvl w:val="0"/>
          <w:numId w:val="2"/>
        </w:numPr>
        <w:spacing w:after="60" w:before="0"/>
      </w:pPr>
      <w:r>
        <w:rPr>
          <w:rFonts w:ascii="Arial" w:cs="Arial" w:eastAsia="Arial" w:hAnsi="Arial"/>
          <w:color w:val="1A1A18"/>
          <w:sz w:val="22"/>
          <w:szCs w:val="22"/>
        </w:rPr>
        <w:t xml:space="preserve">Eine Service-Level-Agreement (SLA): "Daten täglich bis 06:00 Uhr aktuell, max. 4h Verzug"</w:t>
      </w:r>
    </w:p>
    <w:p>
      <w:pPr>
        <w:pStyle w:val="ListParagraph"/>
        <w:numPr>
          <w:ilvl w:val="0"/>
          <w:numId w:val="2"/>
        </w:numPr>
        <w:spacing w:after="60" w:before="0"/>
      </w:pPr>
      <w:r>
        <w:rPr>
          <w:rFonts w:ascii="Arial" w:cs="Arial" w:eastAsia="Arial" w:hAnsi="Arial"/>
          <w:color w:val="1A1A18"/>
          <w:sz w:val="22"/>
          <w:szCs w:val="22"/>
        </w:rPr>
        <w:t xml:space="preserve">Einen Ansprechpartner (Data Product Owner) im fachlichen Team</w:t>
      </w:r>
    </w:p>
    <w:p>
      <w:pPr>
        <w:pStyle w:val="ListParagraph"/>
        <w:numPr>
          <w:ilvl w:val="0"/>
          <w:numId w:val="2"/>
        </w:numPr>
        <w:spacing w:after="60" w:before="0"/>
      </w:pPr>
      <w:r>
        <w:rPr>
          <w:rFonts w:ascii="Arial" w:cs="Arial" w:eastAsia="Arial" w:hAnsi="Arial"/>
          <w:color w:val="1A1A18"/>
          <w:sz w:val="22"/>
          <w:szCs w:val="22"/>
        </w:rPr>
        <w:t xml:space="preserve">Eine Qualitätszusage: Vollständigkeit, Aktualität, Korrektheit — messbar</w:t>
      </w:r>
    </w:p>
    <w:p>
      <w:pPr>
        <w:pStyle w:val="ListParagraph"/>
        <w:numPr>
          <w:ilvl w:val="0"/>
          <w:numId w:val="2"/>
        </w:numPr>
        <w:spacing w:after="60" w:before="0"/>
      </w:pPr>
      <w:r>
        <w:rPr>
          <w:rFonts w:ascii="Arial" w:cs="Arial" w:eastAsia="Arial" w:hAnsi="Arial"/>
          <w:color w:val="1A1A18"/>
          <w:sz w:val="22"/>
          <w:szCs w:val="22"/>
        </w:rPr>
        <w:t xml:space="preserve">Eine Dokumentation im Purview-Datenkatalog: Schema, Herkunft, Sensitivität</w:t>
      </w:r>
    </w:p>
    <w:p>
      <w:pPr>
        <w:spacing w:after="80" w:before="0"/>
      </w:pPr>
      <w:r>
        <w:t xml:space="preserve"/>
      </w:r>
    </w:p>
    <w:p>
      <w:pPr>
        <w:pStyle w:val="Heading3"/>
        <w:spacing w:after="80" w:before="200"/>
      </w:pPr>
      <w:r>
        <w:rPr>
          <w:rFonts w:ascii="Arial" w:cs="Arial" w:eastAsia="Arial" w:hAnsi="Arial"/>
          <w:b/>
          <w:bCs/>
          <w:color w:val="444441"/>
          <w:sz w:val="22"/>
          <w:szCs w:val="22"/>
        </w:rPr>
        <w:t xml:space="preserve">Prinzip 3: Self-Service-Datenplattform</w:t>
      </w:r>
    </w:p>
    <w:p>
      <w:pPr>
        <w:spacing w:after="120" w:before="0"/>
      </w:pPr>
      <w:r>
        <w:rPr>
          <w:rFonts w:ascii="Arial" w:cs="Arial" w:eastAsia="Arial" w:hAnsi="Arial"/>
          <w:color w:val="1A1A18"/>
          <w:sz w:val="22"/>
          <w:szCs w:val="22"/>
        </w:rPr>
        <w:t xml:space="preserve">Die dispDB stellt das Framework bereit: Delta Lake, Unity Catalog, Purview, Power BI Semantic Layer. Jedes Domänenteam kann sein Datenprodukt dort ablegen, ohne auf das Data-Team zu warten. Das Data-Team (Business Transformation) gibt die Spielregeln vor — nicht die Inhalte.</w:t>
      </w:r>
    </w:p>
    <w:p>
      <w:pPr>
        <w:spacing w:after="80" w:before="0"/>
      </w:pPr>
      <w:r>
        <w:t xml:space="preserve"/>
      </w:r>
    </w:p>
    <w:p>
      <w:pPr>
        <w:pStyle w:val="Heading3"/>
        <w:spacing w:after="80" w:before="200"/>
      </w:pPr>
      <w:r>
        <w:rPr>
          <w:rFonts w:ascii="Arial" w:cs="Arial" w:eastAsia="Arial" w:hAnsi="Arial"/>
          <w:b/>
          <w:bCs/>
          <w:color w:val="444441"/>
          <w:sz w:val="22"/>
          <w:szCs w:val="22"/>
        </w:rPr>
        <w:t xml:space="preserve">Prinzip 4: Föderierte Governance</w:t>
      </w:r>
    </w:p>
    <w:p>
      <w:pPr>
        <w:spacing w:after="120" w:before="0"/>
      </w:pPr>
      <w:r>
        <w:rPr>
          <w:rFonts w:ascii="Arial" w:cs="Arial" w:eastAsia="Arial" w:hAnsi="Arial"/>
          <w:color w:val="1A1A18"/>
          <w:sz w:val="22"/>
          <w:szCs w:val="22"/>
        </w:rPr>
        <w:t xml:space="preserve">Globale Regeln gelten für alle — definiert von Business Transformation: Naming Conventions (schema.domain.entity), DSGVO-Sensitivity-Labels (Purview), DORA-Archivierungsfristen, BaFin-Zugriffsprotokolle. Aber jedes Domänenteam entscheidet, wie es seine Daten intern strukturiert. Zentrales "Was", dezentrales "Wie".</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7.3 Datenprodukte in der konkreten Landschaft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380"/>
        <w:gridCol w:w="1680"/>
        <w:gridCol w:w="1700"/>
      </w:tblGrid>
      <w:tr>
        <w:tc>
          <w:tcPr>
            <w:tcW w:type="dxa" w:w="18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Datenprodukt</w:t>
            </w:r>
          </w:p>
        </w:tc>
        <w:tc>
          <w:tcPr>
            <w:tcW w:type="dxa" w:w="18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Eigentümer</w:t>
            </w:r>
          </w:p>
        </w:tc>
        <w:tc>
          <w:tcPr>
            <w:tcW w:type="dxa" w:w="23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Inhalt</w:t>
            </w:r>
          </w:p>
        </w:tc>
        <w:tc>
          <w:tcPr>
            <w:tcW w:type="dxa" w:w="168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SLA</w:t>
            </w:r>
          </w:p>
        </w:tc>
        <w:tc>
          <w:tcPr>
            <w:tcW w:type="dxa" w:w="17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Delta-Tabelle (Gold)</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Versicherungsbestand NL</w:t>
            </w:r>
          </w:p>
        </w:tc>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Policy-Team (AS/400)</w:t>
            </w:r>
          </w:p>
        </w:tc>
        <w:tc>
          <w:tcPr>
            <w:tcW w:type="dxa" w:w="23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Policen NL: ID, Sparte, Beitrag, Status, Partner-ID</w:t>
            </w:r>
          </w:p>
        </w:tc>
        <w:tc>
          <w:tcPr>
            <w:tcW w:type="dxa" w:w="1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tägl. bis 06:00</w:t>
            </w:r>
          </w:p>
        </w:tc>
        <w:tc>
          <w:tcPr>
            <w:tcW w:type="dxa" w:w="17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gold.policy.nl_bestand</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Versicherungsbestand L</w:t>
            </w:r>
          </w:p>
        </w:tc>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Policy-Team (Oracle)</w:t>
            </w:r>
          </w:p>
        </w:tc>
        <w:tc>
          <w:tcPr>
            <w:tcW w:type="dxa" w:w="23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Policen L: ID, Produkt, Prämie, Status, Beginn/Ende</w:t>
            </w:r>
          </w:p>
        </w:tc>
        <w:tc>
          <w:tcPr>
            <w:tcW w:type="dxa" w:w="1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tägl. bis 06:00</w:t>
            </w:r>
          </w:p>
        </w:tc>
        <w:tc>
          <w:tcPr>
            <w:tcW w:type="dxa" w:w="17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gold.policy.l_bestand</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Maklerregister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Partner-Team (Cobra)</w:t>
            </w:r>
          </w:p>
        </w:tc>
        <w:tc>
          <w:tcPr>
            <w:tcW w:type="dxa" w:w="23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Makler: ID, Name, IHK-Nr., Status, Provisionssatz, Kontakt</w:t>
            </w:r>
          </w:p>
        </w:tc>
        <w:tc>
          <w:tcPr>
            <w:tcW w:type="dxa" w:w="1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Echtzeit via Event</w:t>
            </w:r>
          </w:p>
        </w:tc>
        <w:tc>
          <w:tcPr>
            <w:tcW w:type="dxa" w:w="17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gold.partner.makler</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bCs/>
                <w:color w:val="1A1A18"/>
                <w:sz w:val="20"/>
                <w:szCs w:val="20"/>
              </w:rPr>
              <w:t xml:space="preserve">Schadensereignisse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Claims-Team</w:t>
            </w:r>
          </w:p>
        </w:tc>
        <w:tc>
          <w:tcPr>
            <w:tcW w:type="dxa" w:w="23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Schäden: ID, Police, Datum, Betrag, Status, Regulierung</w:t>
            </w:r>
          </w:p>
        </w:tc>
        <w:tc>
          <w:tcPr>
            <w:tcW w:type="dxa" w:w="168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Echtzeit via Event</w:t>
            </w:r>
          </w:p>
        </w:tc>
        <w:tc>
          <w:tcPr>
            <w:tcW w:type="dxa" w:w="17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gold.claims.ereignisse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bCs/>
                <w:color w:val="1A1A18"/>
                <w:sz w:val="20"/>
                <w:szCs w:val="20"/>
              </w:rPr>
              <w:t xml:space="preserve">Ext. Referenzdaten</w:t>
            </w:r>
          </w:p>
        </w:tc>
        <w:tc>
          <w:tcPr>
            <w:tcW w:type="dxa" w:w="1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dispDB-Team (Integrator)</w:t>
            </w:r>
          </w:p>
        </w:tc>
        <w:tc>
          <w:tcPr>
            <w:tcW w:type="dxa" w:w="23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ZürsGeo-Zonen, ABIS-Status, IHK-Register, GDV-Daten</w:t>
            </w:r>
          </w:p>
        </w:tc>
        <w:tc>
          <w:tcPr>
            <w:tcW w:type="dxa" w:w="168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wöchentl. / on-demand</w:t>
            </w:r>
          </w:p>
        </w:tc>
        <w:tc>
          <w:tcPr>
            <w:tcW w:type="dxa" w:w="17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gold.ext.*</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7.4 Die strategische Repositionierung der dispDB</w:t>
      </w:r>
    </w:p>
    <w:p>
      <w:pPr>
        <w:pBdr>
          <w:left w:val="single" w:color="993C1D" w:sz="12"/>
        </w:pBdr>
        <w:shd w:fill="FAECE7" w:val="clear"/>
        <w:spacing w:after="140" w:before="140"/>
        <w:ind w:left="280" w:right="280"/>
      </w:pPr>
      <w:r>
        <w:rPr>
          <w:rFonts w:ascii="Arial" w:cs="Arial" w:eastAsia="Arial" w:hAnsi="Arial"/>
          <w:i/>
          <w:iCs/>
          <w:color w:val="1A1A18"/>
          <w:sz w:val="20"/>
          <w:szCs w:val="20"/>
        </w:rPr>
        <w:t xml:space="preserve">Klassisches DWH-Denken: dispDB ist ein zentrales Datenlager. Das dispDB-Team sammelt alle Daten ein, bereinigt sie und liefert Berichte. Das Team ist für alle Datenqualitätsprobleme zuständig. Flaschenhals.</w:t>
      </w:r>
    </w:p>
    <w:p>
      <w:pPr>
        <w:spacing w:after="80" w:before="0"/>
      </w:pPr>
      <w:r>
        <w:t xml:space="preserve"/>
      </w:r>
    </w:p>
    <w:p>
      <w:pPr>
        <w:pBdr>
          <w:left w:val="single" w:color="1D9E75" w:sz="12"/>
        </w:pBdr>
        <w:shd w:fill="E1F5EE" w:val="clear"/>
        <w:spacing w:after="140" w:before="140"/>
        <w:ind w:left="280" w:right="280"/>
      </w:pPr>
      <w:r>
        <w:rPr>
          <w:rFonts w:ascii="Arial" w:cs="Arial" w:eastAsia="Arial" w:hAnsi="Arial"/>
          <w:i/>
          <w:iCs/>
          <w:color w:val="1A1A18"/>
          <w:sz w:val="20"/>
          <w:szCs w:val="20"/>
        </w:rPr>
        <w:t xml:space="preserve">Data-Mesh-Denken: dispDB ist eine Selbstbedienungsplattform für Datenprodukte. Das dispDB-Team definiert die Spielregeln (Unity Catalog, Naming, DSGVO-Labels, Qualitäts-Framework). Domänenteams liefern ihre Produkte selbst ein. Das dispDB-Team kuratiert, kombiniert und liefert den Gold-Layer — trägt aber nicht die Verantwortung für Quell-Datenqualität.</w:t>
      </w:r>
    </w:p>
    <w:p>
      <w:pPr>
        <w:spacing w:after="80" w:before="0"/>
      </w:pPr>
      <w:r>
        <w:t xml:space="preserve"/>
      </w:r>
    </w:p>
    <w:p>
      <w:pPr>
        <w:spacing w:after="120" w:before="0"/>
      </w:pPr>
      <w:r>
        <w:rPr>
          <w:rFonts w:ascii="Arial" w:cs="Arial" w:eastAsia="Arial" w:hAnsi="Arial"/>
          <w:color w:val="1A1A18"/>
          <w:sz w:val="22"/>
          <w:szCs w:val="22"/>
        </w:rPr>
        <w:t xml:space="preserve">Das ist ein fundamentales Rollenverständnis: Business Transformation definiert die Architektur und die Governance-Regeln der Datenlandschaft — nicht als Dateneingabe-Stelle für alle, sondern als Plattform-Team, das anderen ermöglicht, Datenprodukte zu liefern.</w:t>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8. Evolutionspfad — Von heute in die Zukunft</w:t>
      </w:r>
    </w:p>
    <w:p>
      <w:pPr>
        <w:pStyle w:val="Heading2"/>
        <w:spacing w:after="120" w:before="280"/>
      </w:pPr>
      <w:r>
        <w:rPr>
          <w:rFonts w:ascii="Arial" w:cs="Arial" w:eastAsia="Arial" w:hAnsi="Arial"/>
          <w:b/>
          <w:bCs/>
          <w:color w:val="185FA5"/>
          <w:sz w:val="26"/>
          <w:szCs w:val="26"/>
        </w:rPr>
        <w:t xml:space="preserve">8.1 Phase 0 — Fundament (2025/2026, laufend)</w:t>
      </w:r>
    </w:p>
    <w:p>
      <w:pPr>
        <w:pStyle w:val="ListParagraph"/>
        <w:numPr>
          <w:ilvl w:val="0"/>
          <w:numId w:val="2"/>
        </w:numPr>
        <w:spacing w:after="60" w:before="0"/>
      </w:pPr>
      <w:r>
        <w:rPr>
          <w:rFonts w:ascii="Arial" w:cs="Arial" w:eastAsia="Arial" w:hAnsi="Arial"/>
          <w:color w:val="1A1A18"/>
          <w:sz w:val="22"/>
          <w:szCs w:val="22"/>
        </w:rPr>
        <w:t xml:space="preserve">dispDB aufbauen: SHIR, Data Factory, AS/400-Ingestion via ODBC (bestehende Python-Verbindung nutzen)</w:t>
      </w:r>
    </w:p>
    <w:p>
      <w:pPr>
        <w:pStyle w:val="ListParagraph"/>
        <w:numPr>
          <w:ilvl w:val="0"/>
          <w:numId w:val="2"/>
        </w:numPr>
        <w:spacing w:after="60" w:before="0"/>
      </w:pPr>
      <w:r>
        <w:rPr>
          <w:rFonts w:ascii="Arial" w:cs="Arial" w:eastAsia="Arial" w:hAnsi="Arial"/>
          <w:color w:val="1A1A18"/>
          <w:sz w:val="22"/>
          <w:szCs w:val="22"/>
        </w:rPr>
        <w:t xml:space="preserve">Oracle-Connectivity herstellen: oracledb Thick Mode, Instant Client 19, TNS-Konfiguration</w:t>
      </w:r>
    </w:p>
    <w:p>
      <w:pPr>
        <w:pStyle w:val="ListParagraph"/>
        <w:numPr>
          <w:ilvl w:val="0"/>
          <w:numId w:val="2"/>
        </w:numPr>
        <w:spacing w:after="60" w:before="0"/>
      </w:pPr>
      <w:r>
        <w:rPr>
          <w:rFonts w:ascii="Arial" w:cs="Arial" w:eastAsia="Arial" w:hAnsi="Arial"/>
          <w:color w:val="1A1A18"/>
          <w:sz w:val="22"/>
          <w:szCs w:val="22"/>
        </w:rPr>
        <w:t xml:space="preserve">Erstes Power BI Executive Dashboard: Vertriebs-Basisreport (5 NL-KPIs + 3-5 L-KPIs)</w:t>
      </w:r>
    </w:p>
    <w:p>
      <w:pPr>
        <w:pStyle w:val="ListParagraph"/>
        <w:numPr>
          <w:ilvl w:val="0"/>
          <w:numId w:val="2"/>
        </w:numPr>
        <w:spacing w:after="60" w:before="0"/>
      </w:pPr>
      <w:r>
        <w:rPr>
          <w:rFonts w:ascii="Arial" w:cs="Arial" w:eastAsia="Arial" w:hAnsi="Arial"/>
          <w:color w:val="1A1A18"/>
          <w:sz w:val="22"/>
          <w:szCs w:val="22"/>
        </w:rPr>
        <w:t xml:space="preserve">Azure APIM aufsetzen: erste API-Policies, Developer Portal aktivieren</w:t>
      </w:r>
    </w:p>
    <w:p>
      <w:pPr>
        <w:pStyle w:val="ListParagraph"/>
        <w:numPr>
          <w:ilvl w:val="0"/>
          <w:numId w:val="2"/>
        </w:numPr>
        <w:spacing w:after="60" w:before="0"/>
      </w:pPr>
      <w:r>
        <w:rPr>
          <w:rFonts w:ascii="Arial" w:cs="Arial" w:eastAsia="Arial" w:hAnsi="Arial"/>
          <w:color w:val="1A1A18"/>
          <w:sz w:val="22"/>
          <w:szCs w:val="22"/>
        </w:rPr>
        <w:t xml:space="preserve">Cobra-Webhook: partner.events auf Azure Service Bus — ersetzt CSV-Export als Pilotprojekt</w:t>
      </w:r>
    </w:p>
    <w:p>
      <w:pPr>
        <w:pStyle w:val="ListParagraph"/>
        <w:numPr>
          <w:ilvl w:val="0"/>
          <w:numId w:val="2"/>
        </w:numPr>
        <w:spacing w:after="60" w:before="0"/>
      </w:pPr>
      <w:r>
        <w:rPr>
          <w:rFonts w:ascii="Arial" w:cs="Arial" w:eastAsia="Arial" w:hAnsi="Arial"/>
          <w:color w:val="1A1A18"/>
          <w:sz w:val="22"/>
          <w:szCs w:val="22"/>
        </w:rPr>
        <w:t xml:space="preserve">TSK v1.0 und Compliance-Dokumentation (DORA, BaFin) fertigstellen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8.2 Phase 1 — Composable Insurance (2026–2028)</w:t>
      </w:r>
    </w:p>
    <w:p>
      <w:pPr>
        <w:pStyle w:val="ListParagraph"/>
        <w:numPr>
          <w:ilvl w:val="0"/>
          <w:numId w:val="2"/>
        </w:numPr>
        <w:spacing w:after="60" w:before="0"/>
      </w:pPr>
      <w:r>
        <w:rPr>
          <w:rFonts w:ascii="Arial" w:cs="Arial" w:eastAsia="Arial" w:hAnsi="Arial"/>
          <w:color w:val="1A1A18"/>
          <w:sz w:val="22"/>
          <w:szCs w:val="22"/>
        </w:rPr>
        <w:t xml:space="preserve">Domain-Services schneiden: Policy NL, Policy L, Customer, Claims, Partner, Document</w:t>
      </w:r>
    </w:p>
    <w:p>
      <w:pPr>
        <w:pStyle w:val="ListParagraph"/>
        <w:numPr>
          <w:ilvl w:val="0"/>
          <w:numId w:val="2"/>
        </w:numPr>
        <w:spacing w:after="60" w:before="0"/>
      </w:pPr>
      <w:r>
        <w:rPr>
          <w:rFonts w:ascii="Arial" w:cs="Arial" w:eastAsia="Arial" w:hAnsi="Arial"/>
          <w:color w:val="1A1A18"/>
          <w:sz w:val="22"/>
          <w:szCs w:val="22"/>
        </w:rPr>
        <w:t xml:space="preserve">Anti-Corruption-Adapter deployen: AS/400-Adapter (Azure Function + ODBC), Oracle-Adapter (Azure Function + JDBC)</w:t>
      </w:r>
    </w:p>
    <w:p>
      <w:pPr>
        <w:pStyle w:val="ListParagraph"/>
        <w:numPr>
          <w:ilvl w:val="0"/>
          <w:numId w:val="2"/>
        </w:numPr>
        <w:spacing w:after="60" w:before="0"/>
      </w:pPr>
      <w:r>
        <w:rPr>
          <w:rFonts w:ascii="Arial" w:cs="Arial" w:eastAsia="Arial" w:hAnsi="Arial"/>
          <w:color w:val="1A1A18"/>
          <w:sz w:val="22"/>
          <w:szCs w:val="22"/>
        </w:rPr>
        <w:t xml:space="preserve">Kundenportal aufschalten: liest/schreibt nur über APIM — nie direkt auf Legacy</w:t>
      </w:r>
    </w:p>
    <w:p>
      <w:pPr>
        <w:pStyle w:val="ListParagraph"/>
        <w:numPr>
          <w:ilvl w:val="0"/>
          <w:numId w:val="2"/>
        </w:numPr>
        <w:spacing w:after="60" w:before="0"/>
      </w:pPr>
      <w:r>
        <w:rPr>
          <w:rFonts w:ascii="Arial" w:cs="Arial" w:eastAsia="Arial" w:hAnsi="Arial"/>
          <w:color w:val="1A1A18"/>
          <w:sz w:val="22"/>
          <w:szCs w:val="22"/>
        </w:rPr>
        <w:t xml:space="preserve">Sachbearbeiter-Frontend ablösen: aktuell durch welches System bedient?</w:t>
      </w:r>
    </w:p>
    <w:p>
      <w:pPr>
        <w:pStyle w:val="ListParagraph"/>
        <w:numPr>
          <w:ilvl w:val="0"/>
          <w:numId w:val="2"/>
        </w:numPr>
        <w:spacing w:after="60" w:before="0"/>
      </w:pPr>
      <w:r>
        <w:rPr>
          <w:rFonts w:ascii="Arial" w:cs="Arial" w:eastAsia="Arial" w:hAnsi="Arial"/>
          <w:color w:val="1A1A18"/>
          <w:sz w:val="22"/>
          <w:szCs w:val="22"/>
        </w:rPr>
        <w:t xml:space="preserve">Extranet in Kundenportal integrieren: GDV-Daten über ext.* Events einbinden</w:t>
      </w:r>
    </w:p>
    <w:p>
      <w:pPr>
        <w:pStyle w:val="ListParagraph"/>
        <w:numPr>
          <w:ilvl w:val="0"/>
          <w:numId w:val="2"/>
        </w:numPr>
        <w:spacing w:after="60" w:before="0"/>
      </w:pPr>
      <w:r>
        <w:rPr>
          <w:rFonts w:ascii="Arial" w:cs="Arial" w:eastAsia="Arial" w:hAnsi="Arial"/>
          <w:color w:val="1A1A18"/>
          <w:sz w:val="22"/>
          <w:szCs w:val="22"/>
        </w:rPr>
        <w:t xml:space="preserve">ABIS, ZürsGeo, IHK als dedizierte Event-Produzenten anbinden</w:t>
      </w:r>
    </w:p>
    <w:p>
      <w:pPr>
        <w:pStyle w:val="ListParagraph"/>
        <w:numPr>
          <w:ilvl w:val="0"/>
          <w:numId w:val="2"/>
        </w:numPr>
        <w:spacing w:after="60" w:before="0"/>
      </w:pPr>
      <w:r>
        <w:rPr>
          <w:rFonts w:ascii="Arial" w:cs="Arial" w:eastAsia="Arial" w:hAnsi="Arial"/>
          <w:color w:val="1A1A18"/>
          <w:sz w:val="22"/>
          <w:szCs w:val="22"/>
        </w:rPr>
        <w:t xml:space="preserve">Cobra als maklerführendes System vollständig etablieren: kein CSV mehr</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8.3 Phase 2 — Event-Sourced (2028–2031)</w:t>
      </w:r>
    </w:p>
    <w:p>
      <w:pPr>
        <w:pStyle w:val="ListParagraph"/>
        <w:numPr>
          <w:ilvl w:val="0"/>
          <w:numId w:val="2"/>
        </w:numPr>
        <w:spacing w:after="60" w:before="0"/>
      </w:pPr>
      <w:r>
        <w:rPr>
          <w:rFonts w:ascii="Arial" w:cs="Arial" w:eastAsia="Arial" w:hAnsi="Arial"/>
          <w:color w:val="1A1A18"/>
          <w:sz w:val="22"/>
          <w:szCs w:val="22"/>
        </w:rPr>
        <w:t xml:space="preserve">Azure Event Hubs (Kafka-API) parallel zu Service Bus einführen</w:t>
      </w:r>
    </w:p>
    <w:p>
      <w:pPr>
        <w:pStyle w:val="ListParagraph"/>
        <w:numPr>
          <w:ilvl w:val="0"/>
          <w:numId w:val="2"/>
        </w:numPr>
        <w:spacing w:after="60" w:before="0"/>
      </w:pPr>
      <w:r>
        <w:rPr>
          <w:rFonts w:ascii="Arial" w:cs="Arial" w:eastAsia="Arial" w:hAnsi="Arial"/>
          <w:color w:val="1A1A18"/>
          <w:sz w:val="22"/>
          <w:szCs w:val="22"/>
        </w:rPr>
        <w:t xml:space="preserve">CDC aus AS/400 (Journal) und Oracle (LogMiner/Debezium) implementieren</w:t>
      </w:r>
    </w:p>
    <w:p>
      <w:pPr>
        <w:pStyle w:val="ListParagraph"/>
        <w:numPr>
          <w:ilvl w:val="0"/>
          <w:numId w:val="2"/>
        </w:numPr>
        <w:spacing w:after="60" w:before="0"/>
      </w:pPr>
      <w:r>
        <w:rPr>
          <w:rFonts w:ascii="Arial" w:cs="Arial" w:eastAsia="Arial" w:hAnsi="Arial"/>
          <w:color w:val="1A1A18"/>
          <w:sz w:val="22"/>
          <w:szCs w:val="22"/>
        </w:rPr>
        <w:t xml:space="preserve">Read Models als PostgreSQL-Projektionen aufbauen (CQRS)</w:t>
      </w:r>
    </w:p>
    <w:p>
      <w:pPr>
        <w:pStyle w:val="ListParagraph"/>
        <w:numPr>
          <w:ilvl w:val="0"/>
          <w:numId w:val="2"/>
        </w:numPr>
        <w:spacing w:after="60" w:before="0"/>
      </w:pPr>
      <w:r>
        <w:rPr>
          <w:rFonts w:ascii="Arial" w:cs="Arial" w:eastAsia="Arial" w:hAnsi="Arial"/>
          <w:color w:val="1A1A18"/>
          <w:sz w:val="22"/>
          <w:szCs w:val="22"/>
        </w:rPr>
        <w:t xml:space="preserve">dispDB liest direkt aus Kafka-Topics: Batch-Ingest entfällt</w:t>
      </w:r>
    </w:p>
    <w:p>
      <w:pPr>
        <w:pStyle w:val="ListParagraph"/>
        <w:numPr>
          <w:ilvl w:val="0"/>
          <w:numId w:val="2"/>
        </w:numPr>
        <w:spacing w:after="60" w:before="0"/>
      </w:pPr>
      <w:r>
        <w:rPr>
          <w:rFonts w:ascii="Arial" w:cs="Arial" w:eastAsia="Arial" w:hAnsi="Arial"/>
          <w:color w:val="1A1A18"/>
          <w:sz w:val="22"/>
          <w:szCs w:val="22"/>
        </w:rPr>
        <w:t xml:space="preserve">Stream Analytics für Echtzeit-Fraud-Detection</w:t>
      </w:r>
    </w:p>
    <w:p>
      <w:pPr>
        <w:pStyle w:val="ListParagraph"/>
        <w:numPr>
          <w:ilvl w:val="0"/>
          <w:numId w:val="2"/>
        </w:numPr>
        <w:spacing w:after="60" w:before="0"/>
      </w:pPr>
      <w:r>
        <w:rPr>
          <w:rFonts w:ascii="Arial" w:cs="Arial" w:eastAsia="Arial" w:hAnsi="Arial"/>
          <w:color w:val="1A1A18"/>
          <w:sz w:val="22"/>
          <w:szCs w:val="22"/>
        </w:rPr>
        <w:t xml:space="preserve">Blockchain-Pilot: GDV-Schadenspool oder Policen-Integritätsnachweis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8.4 Phase 3 — Intelligent Platform (2031+)</w:t>
      </w:r>
    </w:p>
    <w:p>
      <w:pPr>
        <w:pStyle w:val="ListParagraph"/>
        <w:numPr>
          <w:ilvl w:val="0"/>
          <w:numId w:val="2"/>
        </w:numPr>
        <w:spacing w:after="60" w:before="0"/>
      </w:pPr>
      <w:r>
        <w:rPr>
          <w:rFonts w:ascii="Arial" w:cs="Arial" w:eastAsia="Arial" w:hAnsi="Arial"/>
          <w:color w:val="1A1A18"/>
          <w:sz w:val="22"/>
          <w:szCs w:val="22"/>
        </w:rPr>
        <w:t xml:space="preserve">Azure OpenAI Orchestrierungsschicht: Sachbearbeiter-Copilot, Kundenservice-Bot</w:t>
      </w:r>
    </w:p>
    <w:p>
      <w:pPr>
        <w:pStyle w:val="ListParagraph"/>
        <w:numPr>
          <w:ilvl w:val="0"/>
          <w:numId w:val="2"/>
        </w:numPr>
        <w:spacing w:after="60" w:before="0"/>
      </w:pPr>
      <w:r>
        <w:rPr>
          <w:rFonts w:ascii="Arial" w:cs="Arial" w:eastAsia="Arial" w:hAnsi="Arial"/>
          <w:color w:val="1A1A18"/>
          <w:sz w:val="22"/>
          <w:szCs w:val="22"/>
        </w:rPr>
        <w:t xml:space="preserve">Auto-Underwriting in Policy NL Domain: KI-Modell für Standardanträge</w:t>
      </w:r>
    </w:p>
    <w:p>
      <w:pPr>
        <w:pStyle w:val="ListParagraph"/>
        <w:numPr>
          <w:ilvl w:val="0"/>
          <w:numId w:val="2"/>
        </w:numPr>
        <w:spacing w:after="60" w:before="0"/>
      </w:pPr>
      <w:r>
        <w:rPr>
          <w:rFonts w:ascii="Arial" w:cs="Arial" w:eastAsia="Arial" w:hAnsi="Arial"/>
          <w:color w:val="1A1A18"/>
          <w:sz w:val="22"/>
          <w:szCs w:val="22"/>
        </w:rPr>
        <w:t xml:space="preserve">Churn-Prediction in Customer Domain: 90-Tage-Vorhersage</w:t>
      </w:r>
    </w:p>
    <w:p>
      <w:pPr>
        <w:pStyle w:val="ListParagraph"/>
        <w:numPr>
          <w:ilvl w:val="0"/>
          <w:numId w:val="2"/>
        </w:numPr>
        <w:spacing w:after="60" w:before="0"/>
      </w:pPr>
      <w:r>
        <w:rPr>
          <w:rFonts w:ascii="Arial" w:cs="Arial" w:eastAsia="Arial" w:hAnsi="Arial"/>
          <w:color w:val="1A1A18"/>
          <w:sz w:val="22"/>
          <w:szCs w:val="22"/>
        </w:rPr>
        <w:t xml:space="preserve">Foto-Schadensschätzung in Claims Domain: Azure Computer Vision</w:t>
      </w:r>
    </w:p>
    <w:p>
      <w:pPr>
        <w:pStyle w:val="ListParagraph"/>
        <w:numPr>
          <w:ilvl w:val="0"/>
          <w:numId w:val="2"/>
        </w:numPr>
        <w:spacing w:after="60" w:before="0"/>
      </w:pPr>
      <w:r>
        <w:rPr>
          <w:rFonts w:ascii="Arial" w:cs="Arial" w:eastAsia="Arial" w:hAnsi="Arial"/>
          <w:color w:val="1A1A18"/>
          <w:sz w:val="22"/>
          <w:szCs w:val="22"/>
        </w:rPr>
        <w:t xml:space="preserve">Feature Store in dispDB: Databricks Feature Engineering, MLflow Modell-Registry</w:t>
      </w:r>
    </w:p>
    <w:p>
      <w:pPr>
        <w:pStyle w:val="ListParagraph"/>
        <w:numPr>
          <w:ilvl w:val="0"/>
          <w:numId w:val="2"/>
        </w:numPr>
        <w:spacing w:after="60" w:before="0"/>
      </w:pPr>
      <w:r>
        <w:rPr>
          <w:rFonts w:ascii="Arial" w:cs="Arial" w:eastAsia="Arial" w:hAnsi="Arial"/>
          <w:color w:val="1A1A18"/>
          <w:sz w:val="22"/>
          <w:szCs w:val="22"/>
        </w:rPr>
        <w:t xml:space="preserve">Parametrische Produkte: erste Piloten mit Wetter-Index-Triggern</w:t>
      </w:r>
    </w:p>
    <w:p>
      <w:pPr>
        <w:pStyle w:val="ListParagraph"/>
        <w:numPr>
          <w:ilvl w:val="0"/>
          <w:numId w:val="2"/>
        </w:numPr>
        <w:spacing w:after="60" w:before="0"/>
      </w:pPr>
      <w:r>
        <w:rPr>
          <w:rFonts w:ascii="Arial" w:cs="Arial" w:eastAsia="Arial" w:hAnsi="Arial"/>
          <w:color w:val="1A1A18"/>
          <w:sz w:val="22"/>
          <w:szCs w:val="22"/>
        </w:rPr>
        <w:t xml:space="preserve">Cobra-Ablösung: moderneres KI-fähiges CRM (Salesforce Financial Services, Microsoft Dynamics 365)</w:t>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9. Skalierbarkeit — Das Versprechen nicht zu wiederholen</w:t>
      </w:r>
    </w:p>
    <w:p>
      <w:pPr>
        <w:spacing w:after="120" w:before="0"/>
      </w:pPr>
      <w:r>
        <w:rPr>
          <w:rFonts w:ascii="Arial" w:cs="Arial" w:eastAsia="Arial" w:hAnsi="Arial"/>
          <w:color w:val="1A1A18"/>
          <w:sz w:val="22"/>
          <w:szCs w:val="22"/>
        </w:rPr>
        <w:t xml:space="preserve">Die beschriebenen Architekturen sind so konzipiert, dass kein Element zum Flaschenhals wird — weder technisch noch organisatorisch. Die drei Strukturprinzipien, die echte Skalierbarkeit sichern: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9.1 Lose Kopplung über Events</w:t>
      </w:r>
    </w:p>
    <w:p>
      <w:pPr>
        <w:spacing w:after="120" w:before="0"/>
      </w:pPr>
      <w:r>
        <w:rPr>
          <w:rFonts w:ascii="Arial" w:cs="Arial" w:eastAsia="Arial" w:hAnsi="Arial"/>
          <w:color w:val="1A1A18"/>
          <w:sz w:val="22"/>
          <w:szCs w:val="22"/>
        </w:rPr>
        <w:t xml:space="preserve">Kein System kennt das Innenleben eines anderen. Kommunikation erfolgt ausschließlich über definierte Event-Schemas. Eine Schema Registry erzwingt Backward-Compatibility. Das bedeutet: ein neues System kann Events konsumieren, ohne dass bestehende Systeme geändert werden müssen.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9.2 Anti-Corruption Layer</w:t>
      </w:r>
    </w:p>
    <w:p>
      <w:pPr>
        <w:spacing w:after="120" w:before="0"/>
      </w:pPr>
      <w:r>
        <w:rPr>
          <w:rFonts w:ascii="Arial" w:cs="Arial" w:eastAsia="Arial" w:hAnsi="Arial"/>
          <w:color w:val="1A1A18"/>
          <w:sz w:val="22"/>
          <w:szCs w:val="22"/>
        </w:rPr>
        <w:t xml:space="preserve">Jedes Legacy-System hat genau einen Adapter. Der Adapter übersetzt zwischen der modernen Event-Welt und den Legacy-Eigenheiten. Legacy kann ausgetauscht werden ohne Domänen-Eingriff. Das gilt für AS/400, Oracle, Cobra, M/Text und X4.</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9.3 Analytik strikt getrennt</w:t>
      </w:r>
    </w:p>
    <w:p>
      <w:pPr>
        <w:spacing w:after="120" w:before="0"/>
      </w:pPr>
      <w:r>
        <w:rPr>
          <w:rFonts w:ascii="Arial" w:cs="Arial" w:eastAsia="Arial" w:hAnsi="Arial"/>
          <w:color w:val="1A1A18"/>
          <w:sz w:val="22"/>
          <w:szCs w:val="22"/>
        </w:rPr>
        <w:t xml:space="preserve">Die dispDB hat keinen Schreibpfad ins operative System. Analytische Lasten (schwere Reports, ML-Training) beeinflussen nicht das Kundenportal. Der Gold-Layer kann jederzeit neu aufgebaut werden. KI-Modelle liegen in der Analytikschicht — safe to fail.</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9.4 Vergleich Erweiterbarkeit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6"/>
        <w:gridCol w:w="2188"/>
      </w:tblGrid>
      <w:tr>
        <w:tc>
          <w:tcPr>
            <w:tcW w:type="dxa" w:w="2800"/>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Kriterium</w:t>
            </w:r>
          </w:p>
        </w:tc>
        <w:tc>
          <w:tcPr>
            <w:tcW w:type="dxa" w:w="2186"/>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Heute (Legacy)</w:t>
            </w:r>
          </w:p>
        </w:tc>
        <w:tc>
          <w:tcPr>
            <w:tcW w:type="dxa" w:w="2186"/>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Architektur 1</w:t>
            </w:r>
          </w:p>
        </w:tc>
        <w:tc>
          <w:tcPr>
            <w:tcW w:type="dxa" w:w="2188"/>
            <w:tcBorders>
              <w:top w:val="single" w:color="D3D1C7" w:sz="1"/>
              <w:left w:val="single" w:color="D3D1C7" w:sz="1"/>
              <w:bottom w:val="single" w:color="D3D1C7" w:sz="1"/>
              <w:right w:val="single" w:color="D3D1C7" w:sz="1"/>
            </w:tcBorders>
            <w:shd w:fill="085041"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Architektur 2+3</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Neues Produkt</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Monate, AS/400-Eingriff</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Neuer Domain-Service</w:t>
            </w:r>
          </w:p>
        </w:tc>
        <w:tc>
          <w:tcPr>
            <w:tcW w:type="dxa" w:w="2188"/>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Neues Kafka-Topic + Consumer</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Neuer Kanal</w:t>
            </w:r>
          </w:p>
        </w:tc>
        <w:tc>
          <w:tcPr>
            <w:tcW w:type="dxa" w:w="2186"/>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Hardcoded Integration</w:t>
            </w:r>
          </w:p>
        </w:tc>
        <w:tc>
          <w:tcPr>
            <w:tcW w:type="dxa" w:w="2186"/>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APIM-Policy + Adapter</w:t>
            </w:r>
          </w:p>
        </w:tc>
        <w:tc>
          <w:tcPr>
            <w:tcW w:type="dxa" w:w="2188"/>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Event-Consumer</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Kernsystem ablösen</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Big Bang</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Strangler Fig via Adapter</w:t>
            </w:r>
          </w:p>
        </w:tc>
        <w:tc>
          <w:tcPr>
            <w:tcW w:type="dxa" w:w="2188"/>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Adapter-Swap, keine Downstream-Änderung</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DORA-Nachweis</w:t>
            </w:r>
          </w:p>
        </w:tc>
        <w:tc>
          <w:tcPr>
            <w:tcW w:type="dxa" w:w="2186"/>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Manuell, aufwändig</w:t>
            </w:r>
          </w:p>
        </w:tc>
        <w:tc>
          <w:tcPr>
            <w:tcW w:type="dxa" w:w="2186"/>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Service Bus = Audit-Log</w:t>
            </w:r>
          </w:p>
        </w:tc>
        <w:tc>
          <w:tcPr>
            <w:tcW w:type="dxa" w:w="2188"/>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Kafka = unveränderl. Log by design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Lastspitze (Sturm)</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AS/400-Kapazitätsgrenze</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Domain-Service skaliert</w:t>
            </w:r>
          </w:p>
        </w:tc>
        <w:tc>
          <w:tcPr>
            <w:tcW w:type="dxa" w:w="2188"/>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Kafka-Consumer horizontal skalierbar</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Neues KI-Modell</w:t>
            </w:r>
          </w:p>
        </w:tc>
        <w:tc>
          <w:tcPr>
            <w:tcW w:type="dxa" w:w="2186"/>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Nicht vorgesehen</w:t>
            </w:r>
          </w:p>
        </w:tc>
        <w:tc>
          <w:tcPr>
            <w:tcW w:type="dxa" w:w="2186"/>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Service in Domäne</w:t>
            </w:r>
          </w:p>
        </w:tc>
        <w:tc>
          <w:tcPr>
            <w:tcW w:type="dxa" w:w="2188"/>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Stream-Processor + Feature Store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Team-Autonomie</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Alles zentral abhängig</w:t>
            </w:r>
          </w:p>
        </w:tc>
        <w:tc>
          <w:tcPr>
            <w:tcW w:type="dxa" w:w="2186"/>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Je Domain-Team eigenständig</w:t>
            </w:r>
          </w:p>
        </w:tc>
        <w:tc>
          <w:tcPr>
            <w:tcW w:type="dxa" w:w="2188"/>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vAlign w:val="top"/>
          </w:tcPr>
          <w:p>
            <w:r>
              <w:rPr>
                <w:rFonts w:ascii="Arial" w:cs="Arial" w:eastAsia="Arial" w:hAnsi="Arial"/>
                <w:b w:val="false"/>
                <w:bCs w:val="false"/>
                <w:color w:val="1A1A18"/>
                <w:sz w:val="20"/>
                <w:szCs w:val="20"/>
              </w:rPr>
              <w:t xml:space="preserve">Topic-Ownership je Team</w:t>
            </w:r>
          </w:p>
        </w:tc>
      </w:tr>
    </w:tbl>
    <w:p>
      <w:pPr>
        <w:spacing w:after="80" w:before="0"/>
      </w:pPr>
      <w:r>
        <w:t xml:space="preserve"/>
      </w:r>
    </w:p>
    <w:p>
      <w:pPr>
        <w:pBdr>
          <w:left w:val="single" w:color="BA7517" w:sz="12"/>
        </w:pBdr>
        <w:shd w:fill="FAEEDA" w:val="clear"/>
        <w:spacing w:after="140" w:before="140"/>
        <w:ind w:left="280" w:right="280"/>
      </w:pPr>
      <w:r>
        <w:rPr>
          <w:rFonts w:ascii="Arial" w:cs="Arial" w:eastAsia="Arial" w:hAnsi="Arial"/>
          <w:i/>
          <w:iCs/>
          <w:color w:val="1A1A18"/>
          <w:sz w:val="20"/>
          <w:szCs w:val="20"/>
        </w:rPr>
        <w:t xml:space="preserve">Conway's Law: "Organisationen entwerfen Systeme, die ihre eigene Kommunikationsstruktur abbilden." Die neue Architektur funktioniert nur, wenn auch die Teamstruktur den Domänen-Schnitt widerspiegelt. Business Transformation übernimmt die Architektur-Governance: kein Team darf direkt in eine fremde Domäne schreiben. API-Design ist ein Produkt, kein Integrationsaufwand.</w:t>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10. Governance, Compliance und Sicherheit</w:t>
      </w:r>
    </w:p>
    <w:p>
      <w:pPr>
        <w:pStyle w:val="Heading2"/>
        <w:spacing w:after="120" w:before="280"/>
      </w:pPr>
      <w:r>
        <w:rPr>
          <w:rFonts w:ascii="Arial" w:cs="Arial" w:eastAsia="Arial" w:hAnsi="Arial"/>
          <w:b/>
          <w:bCs/>
          <w:color w:val="185FA5"/>
          <w:sz w:val="26"/>
          <w:szCs w:val="26"/>
        </w:rPr>
        <w:t xml:space="preserve">10.1 DORA-Anforderungen</w:t>
      </w:r>
    </w:p>
    <w:p>
      <w:pPr>
        <w:pStyle w:val="ListParagraph"/>
        <w:numPr>
          <w:ilvl w:val="0"/>
          <w:numId w:val="2"/>
        </w:numPr>
        <w:spacing w:after="60" w:before="0"/>
      </w:pPr>
      <w:r>
        <w:rPr>
          <w:rFonts w:ascii="Arial" w:cs="Arial" w:eastAsia="Arial" w:hAnsi="Arial"/>
          <w:color w:val="1A1A18"/>
          <w:sz w:val="22"/>
          <w:szCs w:val="22"/>
        </w:rPr>
        <w:t xml:space="preserve">ICT-Risikomanagement: alle neuen Systemkomponenten im TSK dokumentieren</w:t>
      </w:r>
    </w:p>
    <w:p>
      <w:pPr>
        <w:pStyle w:val="ListParagraph"/>
        <w:numPr>
          <w:ilvl w:val="0"/>
          <w:numId w:val="2"/>
        </w:numPr>
        <w:spacing w:after="60" w:before="0"/>
      </w:pPr>
      <w:r>
        <w:rPr>
          <w:rFonts w:ascii="Arial" w:cs="Arial" w:eastAsia="Arial" w:hAnsi="Arial"/>
          <w:color w:val="1A1A18"/>
          <w:sz w:val="22"/>
          <w:szCs w:val="22"/>
        </w:rPr>
        <w:t xml:space="preserve">Incident-Management: Azure Monitor + Service Health als DORA-konformes Monitoring</w:t>
      </w:r>
    </w:p>
    <w:p>
      <w:pPr>
        <w:pStyle w:val="ListParagraph"/>
        <w:numPr>
          <w:ilvl w:val="0"/>
          <w:numId w:val="2"/>
        </w:numPr>
        <w:spacing w:after="60" w:before="0"/>
      </w:pPr>
      <w:r>
        <w:rPr>
          <w:rFonts w:ascii="Arial" w:cs="Arial" w:eastAsia="Arial" w:hAnsi="Arial"/>
          <w:color w:val="1A1A18"/>
          <w:sz w:val="22"/>
          <w:szCs w:val="22"/>
        </w:rPr>
        <w:t xml:space="preserve">Business Continuity: RTO/RPO für dispDB und API-Layer definieren und testen</w:t>
      </w:r>
    </w:p>
    <w:p>
      <w:pPr>
        <w:pStyle w:val="ListParagraph"/>
        <w:numPr>
          <w:ilvl w:val="0"/>
          <w:numId w:val="2"/>
        </w:numPr>
        <w:spacing w:after="60" w:before="0"/>
      </w:pPr>
      <w:r>
        <w:rPr>
          <w:rFonts w:ascii="Arial" w:cs="Arial" w:eastAsia="Arial" w:hAnsi="Arial"/>
          <w:color w:val="1A1A18"/>
          <w:sz w:val="22"/>
          <w:szCs w:val="22"/>
        </w:rPr>
        <w:t xml:space="preserve">Drittanbieter-Management: Mutterkonzern als ICT-Drittanbieter nach DORA Art. 28 vertraglich absichern</w:t>
      </w:r>
    </w:p>
    <w:p>
      <w:pPr>
        <w:pStyle w:val="ListParagraph"/>
        <w:numPr>
          <w:ilvl w:val="0"/>
          <w:numId w:val="2"/>
        </w:numPr>
        <w:spacing w:after="60" w:before="0"/>
      </w:pPr>
      <w:r>
        <w:rPr>
          <w:rFonts w:ascii="Arial" w:cs="Arial" w:eastAsia="Arial" w:hAnsi="Arial"/>
          <w:color w:val="1A1A18"/>
          <w:sz w:val="22"/>
          <w:szCs w:val="22"/>
        </w:rPr>
        <w:t xml:space="preserve">Event-Log-Retention: Service Bus / Kafka 7-Tage-Retention als DORA-Audit-Trail</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10.2 BaFin / VAIT</w:t>
      </w:r>
    </w:p>
    <w:p>
      <w:pPr>
        <w:pStyle w:val="ListParagraph"/>
        <w:numPr>
          <w:ilvl w:val="0"/>
          <w:numId w:val="2"/>
        </w:numPr>
        <w:spacing w:after="60" w:before="0"/>
      </w:pPr>
      <w:r>
        <w:rPr>
          <w:rFonts w:ascii="Arial" w:cs="Arial" w:eastAsia="Arial" w:hAnsi="Arial"/>
          <w:color w:val="1A1A18"/>
          <w:sz w:val="22"/>
          <w:szCs w:val="22"/>
        </w:rPr>
        <w:t xml:space="preserve">IT-Strategie: Zielarchitektur als Teil der IT-Strategie dokumentieren (VAIT Tz. 4)</w:t>
      </w:r>
    </w:p>
    <w:p>
      <w:pPr>
        <w:pStyle w:val="ListParagraph"/>
        <w:numPr>
          <w:ilvl w:val="0"/>
          <w:numId w:val="2"/>
        </w:numPr>
        <w:spacing w:after="60" w:before="0"/>
      </w:pPr>
      <w:r>
        <w:rPr>
          <w:rFonts w:ascii="Arial" w:cs="Arial" w:eastAsia="Arial" w:hAnsi="Arial"/>
          <w:color w:val="1A1A18"/>
          <w:sz w:val="22"/>
          <w:szCs w:val="22"/>
        </w:rPr>
        <w:t xml:space="preserve">Informationsrisikomanagement: Datenklassifikation via Purview Sensitivity Labels</w:t>
      </w:r>
    </w:p>
    <w:p>
      <w:pPr>
        <w:pStyle w:val="ListParagraph"/>
        <w:numPr>
          <w:ilvl w:val="0"/>
          <w:numId w:val="2"/>
        </w:numPr>
        <w:spacing w:after="60" w:before="0"/>
      </w:pPr>
      <w:r>
        <w:rPr>
          <w:rFonts w:ascii="Arial" w:cs="Arial" w:eastAsia="Arial" w:hAnsi="Arial"/>
          <w:color w:val="1A1A18"/>
          <w:sz w:val="22"/>
          <w:szCs w:val="22"/>
        </w:rPr>
        <w:t xml:space="preserve">Benutzerberechtigungsmanagement: Unity Catalog ACLs + Entra ID als IdP</w:t>
      </w:r>
    </w:p>
    <w:p>
      <w:pPr>
        <w:pStyle w:val="ListParagraph"/>
        <w:numPr>
          <w:ilvl w:val="0"/>
          <w:numId w:val="2"/>
        </w:numPr>
        <w:spacing w:after="60" w:before="0"/>
      </w:pPr>
      <w:r>
        <w:rPr>
          <w:rFonts w:ascii="Arial" w:cs="Arial" w:eastAsia="Arial" w:hAnsi="Arial"/>
          <w:color w:val="1A1A18"/>
          <w:sz w:val="22"/>
          <w:szCs w:val="22"/>
        </w:rPr>
        <w:t xml:space="preserve">Auslagerungsmanagement: Cloud-Nutzung (Azure) als wesentliche Auslagerung gemäß VAIT</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10.3 Querschnittliche Komponenten</w:t>
      </w:r>
    </w:p>
    <w:p>
      <w:pPr>
        <w:pStyle w:val="ListParagraph"/>
        <w:numPr>
          <w:ilvl w:val="0"/>
          <w:numId w:val="2"/>
        </w:numPr>
        <w:spacing w:after="60" w:before="0"/>
      </w:pPr>
      <w:r>
        <w:rPr>
          <w:rFonts w:ascii="Arial" w:cs="Arial" w:eastAsia="Arial" w:hAnsi="Arial"/>
          <w:color w:val="1A1A18"/>
          <w:sz w:val="22"/>
          <w:szCs w:val="22"/>
        </w:rPr>
        <w:t xml:space="preserve">Microsoft Purview: Data Lineage, Datenkatalog, Sensitivity Labels, Compliance-Berichte</w:t>
      </w:r>
    </w:p>
    <w:p>
      <w:pPr>
        <w:pStyle w:val="ListParagraph"/>
        <w:numPr>
          <w:ilvl w:val="0"/>
          <w:numId w:val="2"/>
        </w:numPr>
        <w:spacing w:after="60" w:before="0"/>
      </w:pPr>
      <w:r>
        <w:rPr>
          <w:rFonts w:ascii="Arial" w:cs="Arial" w:eastAsia="Arial" w:hAnsi="Arial"/>
          <w:color w:val="1A1A18"/>
          <w:sz w:val="22"/>
          <w:szCs w:val="22"/>
        </w:rPr>
        <w:t xml:space="preserve">Unity Catalog (Databricks): ACLs für alle Delta-Tabellen, Audit-Log für Datenzugriffe</w:t>
      </w:r>
    </w:p>
    <w:p>
      <w:pPr>
        <w:pStyle w:val="ListParagraph"/>
        <w:numPr>
          <w:ilvl w:val="0"/>
          <w:numId w:val="2"/>
        </w:numPr>
        <w:spacing w:after="60" w:before="0"/>
      </w:pPr>
      <w:r>
        <w:rPr>
          <w:rFonts w:ascii="Arial" w:cs="Arial" w:eastAsia="Arial" w:hAnsi="Arial"/>
          <w:color w:val="1A1A18"/>
          <w:sz w:val="22"/>
          <w:szCs w:val="22"/>
        </w:rPr>
        <w:t xml:space="preserve">Azure Monitor + Application Insights: Monitoring aller API-Calls, Domain-Services, Event-Bus</w:t>
      </w:r>
    </w:p>
    <w:p>
      <w:pPr>
        <w:pStyle w:val="ListParagraph"/>
        <w:numPr>
          <w:ilvl w:val="0"/>
          <w:numId w:val="2"/>
        </w:numPr>
        <w:spacing w:after="60" w:before="0"/>
      </w:pPr>
      <w:r>
        <w:rPr>
          <w:rFonts w:ascii="Arial" w:cs="Arial" w:eastAsia="Arial" w:hAnsi="Arial"/>
          <w:color w:val="1A1A18"/>
          <w:sz w:val="22"/>
          <w:szCs w:val="22"/>
        </w:rPr>
        <w:t xml:space="preserve">Entra ID: einheitliches Identity-Management für interne Nutzer und externe Partner</w:t>
      </w:r>
    </w:p>
    <w:p>
      <w:pPr>
        <w:pStyle w:val="ListParagraph"/>
        <w:numPr>
          <w:ilvl w:val="0"/>
          <w:numId w:val="2"/>
        </w:numPr>
        <w:spacing w:after="60" w:before="0"/>
      </w:pPr>
      <w:r>
        <w:rPr>
          <w:rFonts w:ascii="Arial" w:cs="Arial" w:eastAsia="Arial" w:hAnsi="Arial"/>
          <w:color w:val="1A1A18"/>
          <w:sz w:val="22"/>
          <w:szCs w:val="22"/>
        </w:rPr>
        <w:t xml:space="preserve">Azure Key Vault: sichere Verwaltung aller Secrets, Connection Strings, API-Keys</w:t>
      </w:r>
    </w:p>
    <w:p>
      <w:pPr>
        <w:spacing w:after="80" w:before="0"/>
      </w:pPr>
      <w:r>
        <w:t xml:space="preserve"/>
      </w:r>
    </w:p>
    <w:p>
      <w:r>
        <w:br w:type="page"/>
      </w:r>
    </w:p>
    <w:p>
      <w:pPr>
        <w:pStyle w:val="Heading1"/>
        <w:pBdr>
          <w:bottom w:val="single" w:color="1D9E75" w:sz="6" w:space="6"/>
        </w:pBdr>
        <w:spacing w:after="180" w:before="360"/>
      </w:pPr>
      <w:r>
        <w:rPr>
          <w:rFonts w:ascii="Arial" w:cs="Arial" w:eastAsia="Arial" w:hAnsi="Arial"/>
          <w:b/>
          <w:bCs/>
          <w:color w:val="1A1A18"/>
          <w:sz w:val="32"/>
          <w:szCs w:val="32"/>
        </w:rPr>
        <w:t xml:space="preserve">Anhang — Glossar</w:t>
      </w:r>
    </w:p>
    <w:p>
      <w:pPr>
        <w:spacing w:after="100" w:before="0"/>
      </w:pPr>
      <w:r>
        <w:rPr>
          <w:rFonts w:ascii="Arial" w:cs="Arial" w:eastAsia="Arial" w:hAnsi="Arial"/>
          <w:b/>
          <w:bCs/>
          <w:color w:val="1A1A18"/>
          <w:sz w:val="22"/>
          <w:szCs w:val="22"/>
        </w:rPr>
        <w:t xml:space="preserve">Anti-Corruption Layer (ACL): </w:t>
      </w:r>
      <w:r>
        <w:rPr>
          <w:rFonts w:ascii="Arial" w:cs="Arial" w:eastAsia="Arial" w:hAnsi="Arial"/>
          <w:color w:val="1A1A18"/>
          <w:sz w:val="22"/>
          <w:szCs w:val="22"/>
        </w:rPr>
        <w:t xml:space="preserve">Adapter-Schicht, die ein modernes System von einem Legacy-System entkoppelt. Das moderne System kommuniziert nur mit dem ACL, der die Legacy-Eigenheiten kapselt.</w:t>
      </w:r>
    </w:p>
    <w:p>
      <w:pPr>
        <w:spacing w:after="100" w:before="0"/>
      </w:pPr>
      <w:r>
        <w:rPr>
          <w:rFonts w:ascii="Arial" w:cs="Arial" w:eastAsia="Arial" w:hAnsi="Arial"/>
          <w:b/>
          <w:bCs/>
          <w:color w:val="1A1A18"/>
          <w:sz w:val="22"/>
          <w:szCs w:val="22"/>
        </w:rPr>
        <w:t xml:space="preserve">CQRS: </w:t>
      </w:r>
      <w:r>
        <w:rPr>
          <w:rFonts w:ascii="Arial" w:cs="Arial" w:eastAsia="Arial" w:hAnsi="Arial"/>
          <w:color w:val="1A1A18"/>
          <w:sz w:val="22"/>
          <w:szCs w:val="22"/>
        </w:rPr>
        <w:t xml:space="preserve">Command Query Responsibility Segregation. Trennung von Schreib- (Commands) und Lesezugriffen (Queries) auf dedizierte Datenmodelle.</w:t>
      </w:r>
    </w:p>
    <w:p>
      <w:pPr>
        <w:spacing w:after="100" w:before="0"/>
      </w:pPr>
      <w:r>
        <w:rPr>
          <w:rFonts w:ascii="Arial" w:cs="Arial" w:eastAsia="Arial" w:hAnsi="Arial"/>
          <w:b/>
          <w:bCs/>
          <w:color w:val="1A1A18"/>
          <w:sz w:val="22"/>
          <w:szCs w:val="22"/>
        </w:rPr>
        <w:t xml:space="preserve">CDC — Change Data Capture: </w:t>
      </w:r>
      <w:r>
        <w:rPr>
          <w:rFonts w:ascii="Arial" w:cs="Arial" w:eastAsia="Arial" w:hAnsi="Arial"/>
          <w:color w:val="1A1A18"/>
          <w:sz w:val="22"/>
          <w:szCs w:val="22"/>
        </w:rPr>
        <w:t xml:space="preserve">Technologie, die Datenbankänderungen in Echtzeit erkennt und als Events publiziert, ohne die Quell-Applikation zu ändern.</w:t>
      </w:r>
    </w:p>
    <w:p>
      <w:pPr>
        <w:spacing w:after="100" w:before="0"/>
      </w:pPr>
      <w:r>
        <w:rPr>
          <w:rFonts w:ascii="Arial" w:cs="Arial" w:eastAsia="Arial" w:hAnsi="Arial"/>
          <w:b/>
          <w:bCs/>
          <w:color w:val="1A1A18"/>
          <w:sz w:val="22"/>
          <w:szCs w:val="22"/>
        </w:rPr>
        <w:t xml:space="preserve">Composable Architecture: </w:t>
      </w:r>
      <w:r>
        <w:rPr>
          <w:rFonts w:ascii="Arial" w:cs="Arial" w:eastAsia="Arial" w:hAnsi="Arial"/>
          <w:color w:val="1A1A18"/>
          <w:sz w:val="22"/>
          <w:szCs w:val="22"/>
        </w:rPr>
        <w:t xml:space="preserve">Architekturansatz, bei dem fachlich geschnittene, lose gekoppelte Komponenten (Services) unabhängig voneinander deployed und skaliert werden können.</w:t>
      </w:r>
    </w:p>
    <w:p>
      <w:pPr>
        <w:spacing w:after="100" w:before="0"/>
      </w:pPr>
      <w:r>
        <w:rPr>
          <w:rFonts w:ascii="Arial" w:cs="Arial" w:eastAsia="Arial" w:hAnsi="Arial"/>
          <w:b/>
          <w:bCs/>
          <w:color w:val="1A1A18"/>
          <w:sz w:val="22"/>
          <w:szCs w:val="22"/>
        </w:rPr>
        <w:t xml:space="preserve">Data Mesh: </w:t>
      </w:r>
      <w:r>
        <w:rPr>
          <w:rFonts w:ascii="Arial" w:cs="Arial" w:eastAsia="Arial" w:hAnsi="Arial"/>
          <w:color w:val="1A1A18"/>
          <w:sz w:val="22"/>
          <w:szCs w:val="22"/>
        </w:rPr>
        <w:t xml:space="preserve">Datenarchitektur-Paradigma, das Domänen-Teams die Eigenverantwortung für ihre Datenprodukte übergibt, statt alle Daten in einem zentralen DWH zu bündeln.</w:t>
      </w:r>
    </w:p>
    <w:p>
      <w:pPr>
        <w:spacing w:after="100" w:before="0"/>
      </w:pPr>
      <w:r>
        <w:rPr>
          <w:rFonts w:ascii="Arial" w:cs="Arial" w:eastAsia="Arial" w:hAnsi="Arial"/>
          <w:b/>
          <w:bCs/>
          <w:color w:val="1A1A18"/>
          <w:sz w:val="22"/>
          <w:szCs w:val="22"/>
        </w:rPr>
        <w:t xml:space="preserve">Data Product: </w:t>
      </w:r>
      <w:r>
        <w:rPr>
          <w:rFonts w:ascii="Arial" w:cs="Arial" w:eastAsia="Arial" w:hAnsi="Arial"/>
          <w:color w:val="1A1A18"/>
          <w:sz w:val="22"/>
          <w:szCs w:val="22"/>
        </w:rPr>
        <w:t xml:space="preserve">Abgegrenzter Datensatz einer Domäne mit definiertem Schema, SLA, Qualitätszusage und verantwortlichem Team.</w:t>
      </w:r>
    </w:p>
    <w:p>
      <w:pPr>
        <w:spacing w:after="100" w:before="0"/>
      </w:pPr>
      <w:r>
        <w:rPr>
          <w:rFonts w:ascii="Arial" w:cs="Arial" w:eastAsia="Arial" w:hAnsi="Arial"/>
          <w:b/>
          <w:bCs/>
          <w:color w:val="1A1A18"/>
          <w:sz w:val="22"/>
          <w:szCs w:val="22"/>
        </w:rPr>
        <w:t xml:space="preserve">Domain-Service: </w:t>
      </w:r>
      <w:r>
        <w:rPr>
          <w:rFonts w:ascii="Arial" w:cs="Arial" w:eastAsia="Arial" w:hAnsi="Arial"/>
          <w:color w:val="1A1A18"/>
          <w:sz w:val="22"/>
          <w:szCs w:val="22"/>
        </w:rPr>
        <w:t xml:space="preserve">Eigenständiger, unabhängig deploybarer Service, der genau eine fachliche Domäne verantwortet und nur über definierte Events und APIs kommuniziert.</w:t>
      </w:r>
    </w:p>
    <w:p>
      <w:pPr>
        <w:spacing w:after="100" w:before="0"/>
      </w:pPr>
      <w:r>
        <w:rPr>
          <w:rFonts w:ascii="Arial" w:cs="Arial" w:eastAsia="Arial" w:hAnsi="Arial"/>
          <w:b/>
          <w:bCs/>
          <w:color w:val="1A1A18"/>
          <w:sz w:val="22"/>
          <w:szCs w:val="22"/>
        </w:rPr>
        <w:t xml:space="preserve">Event Sourcing: </w:t>
      </w:r>
      <w:r>
        <w:rPr>
          <w:rFonts w:ascii="Arial" w:cs="Arial" w:eastAsia="Arial" w:hAnsi="Arial"/>
          <w:color w:val="1A1A18"/>
          <w:sz w:val="22"/>
          <w:szCs w:val="22"/>
        </w:rPr>
        <w:t xml:space="preserve">Persistenzansatz, bei dem der Systemzustand nicht als aktueller Datensatz gespeichert wird, sondern als Abfolge unveränderlicher Events.</w:t>
      </w:r>
    </w:p>
    <w:p>
      <w:pPr>
        <w:spacing w:after="100" w:before="0"/>
      </w:pPr>
      <w:r>
        <w:rPr>
          <w:rFonts w:ascii="Arial" w:cs="Arial" w:eastAsia="Arial" w:hAnsi="Arial"/>
          <w:b/>
          <w:bCs/>
          <w:color w:val="1A1A18"/>
          <w:sz w:val="22"/>
          <w:szCs w:val="22"/>
        </w:rPr>
        <w:t xml:space="preserve">Feature Store: </w:t>
      </w:r>
      <w:r>
        <w:rPr>
          <w:rFonts w:ascii="Arial" w:cs="Arial" w:eastAsia="Arial" w:hAnsi="Arial"/>
          <w:color w:val="1A1A18"/>
          <w:sz w:val="22"/>
          <w:szCs w:val="22"/>
        </w:rPr>
        <w:t xml:space="preserve">Zentrale Repository für vorberechnete ML-Features, die von mehreren Modellen wiederverwendet werden.</w:t>
      </w:r>
    </w:p>
    <w:p>
      <w:pPr>
        <w:spacing w:after="100" w:before="0"/>
      </w:pPr>
      <w:r>
        <w:rPr>
          <w:rFonts w:ascii="Arial" w:cs="Arial" w:eastAsia="Arial" w:hAnsi="Arial"/>
          <w:b/>
          <w:bCs/>
          <w:color w:val="1A1A18"/>
          <w:sz w:val="22"/>
          <w:szCs w:val="22"/>
        </w:rPr>
        <w:t xml:space="preserve">Kafka / Event Hubs: </w:t>
      </w:r>
      <w:r>
        <w:rPr>
          <w:rFonts w:ascii="Arial" w:cs="Arial" w:eastAsia="Arial" w:hAnsi="Arial"/>
          <w:color w:val="1A1A18"/>
          <w:sz w:val="22"/>
          <w:szCs w:val="22"/>
        </w:rPr>
        <w:t xml:space="preserve">Verteilte Event-Streaming-Plattform. Azure Event Hubs ist Kafka-API-kompatibel und ermöglicht die Nutzung des Kafka-Ökosystems in Azure.</w:t>
      </w:r>
    </w:p>
    <w:p>
      <w:pPr>
        <w:spacing w:after="100" w:before="0"/>
      </w:pPr>
      <w:r>
        <w:rPr>
          <w:rFonts w:ascii="Arial" w:cs="Arial" w:eastAsia="Arial" w:hAnsi="Arial"/>
          <w:b/>
          <w:bCs/>
          <w:color w:val="1A1A18"/>
          <w:sz w:val="22"/>
          <w:szCs w:val="22"/>
        </w:rPr>
        <w:t xml:space="preserve">Medallion Architecture: </w:t>
      </w:r>
      <w:r>
        <w:rPr>
          <w:rFonts w:ascii="Arial" w:cs="Arial" w:eastAsia="Arial" w:hAnsi="Arial"/>
          <w:color w:val="1A1A18"/>
          <w:sz w:val="22"/>
          <w:szCs w:val="22"/>
        </w:rPr>
        <w:t xml:space="preserve">Dreistufige Datenarchitektur: Bronze (Rohdaten), Silver (bereinigt/harmonisiert), Gold (fachlich aggregiert, konsumierbar).</w:t>
      </w:r>
    </w:p>
    <w:p>
      <w:pPr>
        <w:spacing w:after="100" w:before="0"/>
      </w:pPr>
      <w:r>
        <w:rPr>
          <w:rFonts w:ascii="Arial" w:cs="Arial" w:eastAsia="Arial" w:hAnsi="Arial"/>
          <w:b/>
          <w:bCs/>
          <w:color w:val="1A1A18"/>
          <w:sz w:val="22"/>
          <w:szCs w:val="22"/>
        </w:rPr>
        <w:t xml:space="preserve">Read Model: </w:t>
      </w:r>
      <w:r>
        <w:rPr>
          <w:rFonts w:ascii="Arial" w:cs="Arial" w:eastAsia="Arial" w:hAnsi="Arial"/>
          <w:color w:val="1A1A18"/>
          <w:sz w:val="22"/>
          <w:szCs w:val="22"/>
        </w:rPr>
        <w:t xml:space="preserve">In CQRS: Datenbank, die für Lesezugriffe einer spezifischen Anwendung optimiert ist und asynchron aus Events aufgebaut wird.</w:t>
      </w:r>
    </w:p>
    <w:p>
      <w:pPr>
        <w:spacing w:after="100" w:before="0"/>
      </w:pPr>
      <w:r>
        <w:rPr>
          <w:rFonts w:ascii="Arial" w:cs="Arial" w:eastAsia="Arial" w:hAnsi="Arial"/>
          <w:b/>
          <w:bCs/>
          <w:color w:val="1A1A18"/>
          <w:sz w:val="22"/>
          <w:szCs w:val="22"/>
        </w:rPr>
        <w:t xml:space="preserve">Strangler Fig Pattern: </w:t>
      </w:r>
      <w:r>
        <w:rPr>
          <w:rFonts w:ascii="Arial" w:cs="Arial" w:eastAsia="Arial" w:hAnsi="Arial"/>
          <w:color w:val="1A1A18"/>
          <w:sz w:val="22"/>
          <w:szCs w:val="22"/>
        </w:rPr>
        <w:t xml:space="preserve">Migrationsmuster, bei dem ein neues System schrittweise Funktionen des alten übernimmt, bis das alte System vollständig abgelöst ist.</w:t>
      </w:r>
    </w:p>
    <w:p>
      <w:pPr>
        <w:spacing w:after="100" w:before="0"/>
      </w:pPr>
      <w:r>
        <w:rPr>
          <w:rFonts w:ascii="Arial" w:cs="Arial" w:eastAsia="Arial" w:hAnsi="Arial"/>
          <w:b/>
          <w:bCs/>
          <w:color w:val="1A1A18"/>
          <w:sz w:val="22"/>
          <w:szCs w:val="22"/>
        </w:rPr>
        <w:t xml:space="preserve">System of Record: </w:t>
      </w:r>
      <w:r>
        <w:rPr>
          <w:rFonts w:ascii="Arial" w:cs="Arial" w:eastAsia="Arial" w:hAnsi="Arial"/>
          <w:color w:val="1A1A18"/>
          <w:sz w:val="22"/>
          <w:szCs w:val="22"/>
        </w:rPr>
        <w:t xml:space="preserve">Das führende System für eine fachliche Domäne. Es hält die verbindliche Wahrheit — kein anderes System darf diese Daten ohne Autorisierung ändern.</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6"/>
      </w:pBdr>
    </w:pPr>
    <w:r>
      <w:rPr>
        <w:rFonts w:ascii="Arial" w:cs="Arial" w:eastAsia="Arial" w:hAnsi="Arial"/>
        <w:color w:val="444441"/>
        <w:sz w:val="18"/>
        <w:szCs w:val="18"/>
      </w:rPr>
      <w:t xml:space="preserve">Seite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von </w:t>
    </w:r>
    <w:r>
      <w:rPr>
        <w:rFonts w:ascii="Arial" w:cs="Arial" w:eastAsia="Arial" w:hAnsi="Arial"/>
        <w:color w:val="444441"/>
        <w:sz w:val="18"/>
        <w:szCs w:val="18"/>
      </w:rPr>
      <w:fldChar w:fldCharType="begin"/>
      <w:instrText xml:space="preserve">NUMPAGES</w:instrText>
      <w:fldChar w:fldCharType="separate"/>
      <w:fldChar w:fldCharType="end"/>
    </w:r>
    <w:r>
      <w:rPr>
        <w:rFonts w:ascii="Arial" w:cs="Arial" w:eastAsia="Arial" w:hAnsi="Arial"/>
        <w:color w:val="444441"/>
        <w:sz w:val="18"/>
        <w:szCs w:val="18"/>
      </w:rPr>
      <w:t xml:space="preserve">     |     Internes Dokument — dispDB-Projekt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6"/>
      </w:pBdr>
    </w:pPr>
    <w:r>
      <w:rPr>
        <w:rFonts w:ascii="Arial" w:cs="Arial" w:eastAsia="Arial" w:hAnsi="Arial"/>
        <w:color w:val="1D9E75"/>
        <w:sz w:val="18"/>
        <w:szCs w:val="18"/>
      </w:rPr>
      <w:t xml:space="preserve">Zielarchitektur Versicherung</w:t>
    </w:r>
    <w:r>
      <w:rPr>
        <w:rFonts w:ascii="Arial" w:cs="Arial" w:eastAsia="Arial" w:hAnsi="Arial"/>
        <w:color w:val="444441"/>
        <w:sz w:val="18"/>
        <w:szCs w:val="18"/>
      </w:rPr>
      <w:t xml:space="preserve">  ·  Business Transformation  ·  Juni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2026-06-14T16:29:13.073Z</dcterms:created>
  <dcterms:modified xsi:type="dcterms:W3CDTF">2026-06-14T16:29:13.087Z</dcterms:modified>
</cp:coreProperties>
</file>

<file path=docProps/custom.xml><?xml version="1.0" encoding="utf-8"?>
<Properties xmlns="http://schemas.openxmlformats.org/officeDocument/2006/custom-properties" xmlns:vt="http://schemas.openxmlformats.org/officeDocument/2006/docPropsVTypes"/>
</file>