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Projekt dispDB - Meilenstein- und Ressourcenplanung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Zuordnung der veranschlagten Personaltagsschaetzungen (PT) zu den Projektmeilensteinen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Vorbemerkung</w:t>
      </w:r>
    </w:p>
    <w:p>
      <w:r>
        <w:rPr>
          <w:rFonts w:ascii="Arial" w:cs="Arial" w:eastAsia="Arial" w:hAnsi="Arial"/>
          <w:color w:val="000000"/>
          <w:sz w:val="20"/>
          <w:szCs w:val="20"/>
        </w:rPr>
        <w:t xml:space="preserve">Die nachfolgende Tabelle fuehrt die Zeit-/Meilensteinplanung und die Ressourcenplanung des Projektantrags zusammen. Die PT-Schaetzungen aus dem Ressourcensheet (Projektmanagement: 12-15 PT, Technische Projektbegleitung: 130-150 PT) werden je Meilenstein und Rolle aufgeschluesselt.</w:t>
      </w:r>
    </w:p>
    <w:p>
      <w:r>
        <w:rPr>
          <w:sz w:val="20"/>
          <w:szCs w:val="20"/>
        </w:rPr>
        <w:t xml:space="preserve"/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Hinweis: Der Aufwand des Konzerns fuer das Platform-Deployment (Terraform, Entra ID, Netzwerkinfrastruktur) ist im Ressourcensheet nicht enthalten und wird in dieser Planung entsprechend nicht beruecksichtigt. Die interne IT wird lediglich punktuell fuer Netzwerk-Konnektivitaetsfragen eingebunden.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Meilenstein-Ressourcen-Mapping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3200"/>
        <w:gridCol w:w="700"/>
        <w:gridCol w:w="700"/>
        <w:gridCol w:w="2226"/>
      </w:tblGrid>
      <w:tr>
        <w:trPr>
          <w:tblHeader/>
        </w:trPr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/ Meilenstein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Wochen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Aufgaben je Rolle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PM (PT)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TPB (PT)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Bemerkung</w:t>
            </w:r>
          </w:p>
        </w:tc>
      </w:tr>
      <w:tr>
        <w:tc>
          <w:tcPr>
            <w:tcW w:type="dxa" w:w="9026"/>
            <w:gridSpan w:val="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 — Projekt-Initialisierung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Anforderungskatalog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Wo 1-4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PM: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Kick-off, Stakeholder-Abstimmung, Dokumentation</w:t>
            </w:r>
          </w:p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TPB: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Fachliche Anforderungserhebung (Data-Architektur), Bewertung Quellsysteme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2,0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8,0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ca. 10 PT gesamt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Target-Architecture Design &amp; Freigabe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Wo 5-8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PM: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Abstimmungsrunden, Freigabeprozess koordinieren</w:t>
            </w:r>
          </w:p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TPB: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Zielarchitektur (Medallion: Bronze/Silver/Gold), Databricks-Design, PBI-Framework-Konzept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1,5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12,0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ca. 13,5 PT gesamt</w:t>
            </w:r>
          </w:p>
        </w:tc>
      </w:tr>
      <w:tr>
        <w:tc>
          <w:tcPr>
            <w:tcW w:type="dxa" w:w="9026"/>
            <w:gridSpan w:val="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 — Onboarding / Platform-Deployment (VIG-seitig, Konzern fuehrt)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Info-Termin / Onboarding Kickoff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Wo 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PM: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Termin organisieren, Protokoll</w:t>
            </w:r>
          </w:p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TPB: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Technische Vorbereitung, Teilnahme, Abklaerung offener Punkte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0,5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1,0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Konzern: Deployment-Arbeit liegt extern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 Kickoff &amp; Onboarding Agreement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Wo 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PM: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Agreement-Prozess begleiten, Unterzeichnung</w:t>
            </w:r>
          </w:p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TPB: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Technische Klaerung (Netzwerk, Entra ID, VPN), Abstimmung Konzern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0,5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2,0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Terraform Deployment, Entra ID Sync, Netzwerk-Start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Wo 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PM: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Tracking, Eskalation bei Verzoegerungen</w:t>
            </w:r>
          </w:p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TPB: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Begleitung/Abnahme Deployment, interne IT koordinieren (Netzwerk-Konnektivitaet)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0,5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3,0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Interne IT: punktuell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Finalisierung Netzwerk, Pilot-User Plattform-Zugriff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Wo 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PM: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Statusbericht, Freigabe Pilot-User</w:t>
            </w:r>
          </w:p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TPB: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Netzwerk-Tests, Identity-Konfiguration pruefen, Pilot-Onboarding begleiten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0,5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3,0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Stabilisierungs-Phase, Testing, Finalisierung Setup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Wo 13-16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PM: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Fortschrittsmonitoring, Quality Gate koordinieren</w:t>
            </w:r>
          </w:p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TPB: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Bronze-Layer-Ingestion implementieren, Data Quality Gate definieren &amp; testen, Security-Setup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1,5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18,0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Kernarbeit TPB beginnt hier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Abschluss, formale Akzeptanz Onboarding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Wo 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PM: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Abnahmedokumentation, Meilenstein-Signoff</w:t>
            </w:r>
          </w:p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TPB: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Technische Abnahme, Uebergabeprotokoll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0,5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2,0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gridSpan w:val="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 — Business-Adaption &amp; Hypercare-Phase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Container-Bereitstellung &amp; Schulung Power BI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Wo 18-21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PM: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Schulungsplanung, Kommunikation an User</w:t>
            </w:r>
          </w:p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TPB: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Silver/Gold-Layer-Transformation, PBI-Framework aufbauen, Schulungsunterlagen, User-Support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1,5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28,0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Groesster TPB-Block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Stabilisierung Betrieb &amp; Konzeption Advanced / Predictive Analytics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Wo 22-25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PM: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Betriebsuebergabe vorbereiten, Abschlussdokumentation</w:t>
            </w:r>
          </w:p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TPB: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High-End-Vorbereitung (ML/Predictive), Monitoring finalisieren, Security-Review, Fachkonzept Advanced Analytics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1,5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30,0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Inkl. ca. 1 FTE-Anteil Konzeption</w:t>
            </w:r>
          </w:p>
        </w:tc>
      </w:tr>
      <w:tr>
        <w:tc>
          <w:tcPr>
            <w:tcW w:type="dxa" w:w="9026"/>
            <w:gridSpan w:val="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 — Querschnitt (parallel ueber alle Phasen)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Dokumentation laufend (inkl. Unity-Catalog-Metadaten)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Wo 1-25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PM: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Projektdokumentation, Statusberichte, Protokolle</w:t>
            </w:r>
          </w:p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TPB: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Technische Doku, Unity-Catalog-Metadaten (automatisiert + manuell gepflegt)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1,5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12,0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Verteilt auf gesamte Laufzeit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Gesamt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Wo 1-25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Alle Phasen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12,0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119,0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131 PT gesamt
(Puffer: PM +0-3, TPB +11-31 PT)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* Konzern-Aufwand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(Terraform, Entra ID, Netzwerk-Infrastruktur) ist nicht im Ressourcensheet enthalten und liegt vollstaendig beim Konzern.</w:t>
      </w:r>
    </w:p>
    <w:p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* Interne IT: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Nur punktuell fuer Netzwerk-Konnektivitaet eingebunden - kein separater PT-Block im Ressourcensheet erforderlich.</w:t>
      </w:r>
    </w:p>
    <w:p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Erlaeuternde Hinweise zum Mapping</w:t>
      </w:r>
    </w:p>
    <w:p>
      <w:r>
        <w:rPr>
          <w:rFonts w:ascii="Arial" w:cs="Arial" w:eastAsia="Arial" w:hAnsi="Arial"/>
          <w:b/>
          <w:bCs/>
          <w:color w:val="185FA5"/>
          <w:sz w:val="20"/>
          <w:szCs w:val="20"/>
        </w:rPr>
        <w:t xml:space="preserve">PM-Anteil (12 PT als Basisplan)</w:t>
      </w:r>
    </w:p>
    <w:p>
      <w:r>
        <w:rPr>
          <w:rFonts w:ascii="Arial" w:cs="Arial" w:eastAsia="Arial" w:hAnsi="Arial"/>
          <w:color w:val="000000"/>
          <w:sz w:val="20"/>
          <w:szCs w:val="20"/>
        </w:rPr>
        <w:t xml:space="preserve">Der PM-Aufwand ist bewusst schlank gehalten und konzentriert sich auf Steuerung, Abstimmungsrunden, Dokumentation und Meilenstein-Signoffs. Der Grossteil der inhaltlichen Koordination laeuft ueber die Technische Projektbegleitung (TPB). Der Zielkorridor von 12-15 PT laesst einen Puffer von 0-3 PT fuer unvorhergesehenen Steuerungsaufwand.</w:t>
      </w:r>
    </w:p>
    <w:p>
      <w:r>
        <w:rPr>
          <w:sz w:val="18"/>
          <w:szCs w:val="18"/>
        </w:rPr>
        <w:t xml:space="preserve"/>
      </w:r>
    </w:p>
    <w:p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TPB-Anteil (119 PT als Basisplan)</w:t>
      </w:r>
    </w:p>
    <w:p>
      <w:r>
        <w:rPr>
          <w:rFonts w:ascii="Arial" w:cs="Arial" w:eastAsia="Arial" w:hAnsi="Arial"/>
          <w:color w:val="000000"/>
          <w:sz w:val="20"/>
          <w:szCs w:val="20"/>
        </w:rPr>
        <w:t xml:space="preserve">Die drei groessten Arbeitsbloecke der Technischen Projektbegleitung sind: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Wo 22-25: Stabilisierung &amp; Advanced Analytics-Konzeption (30 PT)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Wo 18-21: Silver/Gold-Layer-Transformation &amp; Power BI-Aufbau (28 PT)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Wo 13-16: Bronze-Layer-Ingestion, Quality Gate &amp; Security-Setup (18 PT)</w:t>
      </w:r>
    </w:p>
    <w:p>
      <w:r>
        <w:rPr>
          <w:sz w:val="18"/>
          <w:szCs w:val="18"/>
        </w:rPr>
        <w:t xml:space="preserve"/>
      </w:r>
    </w:p>
    <w:p>
      <w:r>
        <w:rPr>
          <w:rFonts w:ascii="Arial" w:cs="Arial" w:eastAsia="Arial" w:hAnsi="Arial"/>
          <w:color w:val="000000"/>
          <w:sz w:val="20"/>
          <w:szCs w:val="20"/>
        </w:rPr>
        <w:t xml:space="preserve">Diese Verteilung deckt sich mit der im Antrag genannten Einschaetzung von ca. 1 FTE fuer den Kernbereich (E2E-Realisierung: Ingestion-Logik, Transformation, Power BI Framework, High-End-Vorbereitung und Security).</w:t>
      </w:r>
    </w:p>
    <w:p>
      <w:r>
        <w:rPr>
          <w:sz w:val="18"/>
          <w:szCs w:val="18"/>
        </w:rPr>
        <w:t xml:space="preserve"/>
      </w:r>
    </w:p>
    <w:p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PT-Puffer (11-31 PT TPB)</w:t>
      </w:r>
    </w:p>
    <w:p>
      <w:r>
        <w:rPr>
          <w:rFonts w:ascii="Arial" w:cs="Arial" w:eastAsia="Arial" w:hAnsi="Arial"/>
          <w:color w:val="000000"/>
          <w:sz w:val="20"/>
          <w:szCs w:val="20"/>
        </w:rPr>
        <w:t xml:space="preserve">Der Restpuffer zum Zielkorridor von 130-150 PT betraegt 11-31 PT. Es wird empfohlen, diesen nicht als Reserve "wegzuplanen", sondern explizit als Risikoposition im Projektantrag auszuweisen. Moegliche Risikopositionen, die diesen Puffer benoetigen koennten: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Unerwartete Komplexitaet bei Quellsystem-Anbindungen (insb. Datenzugriff und -qualitaet)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Netzwerk-Issues waehrend des Konzern-Onboardings (Wo 11-12)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Erweiterter Umfang des Fachkonzepts Advanced/Predictive Analytics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Iterationsaufwand beim Power BI-Framework (Anpassungen nach User-Feedback in Wo 18-21)</w:t>
      </w:r>
    </w:p>
    <w:p>
      <w:r>
        <w:rPr>
          <w:sz w:val="18"/>
          <w:szCs w:val="18"/>
        </w:rPr>
        <w:t xml:space="preserve"/>
      </w:r>
    </w:p>
    <w:p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Stand: April 2026 | Projekt dispDB | Seite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2026-04-13T20:58:16.325Z</dcterms:created>
  <dcterms:modified xsi:type="dcterms:W3CDTF">2026-04-13T20:58:16.326Z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