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5C3EB5" w:val="clear"/>
            <w:tcMar>
              <w:top w:type="dxa" w:w="200"/>
              <w:left w:type="dxa" w:w="300"/>
              <w:bottom w:type="dxa" w:w="200"/>
              <w:right w:type="dxa" w:w="300"/>
            </w:tcMar>
          </w:tcPr>
          <w:p>
            <w:r>
              <w:rPr>
                <w:rFonts w:ascii="Arial" w:cs="Arial" w:eastAsia="Arial" w:hAnsi="Arial"/>
                <w:b/>
                <w:bCs/>
                <w:color w:val="FFFFFF"/>
                <w:sz w:val="18"/>
                <w:szCs w:val="18"/>
              </w:rPr>
              <w:t xml:space="preserve">INTERNES ARBEITSDOKUMENT — VERTRAULICH</w:t>
            </w:r>
          </w:p>
        </w:tc>
      </w:tr>
    </w:tbl>
    <w:p>
      <w:pPr>
        <w:spacing w:after="0" w:before="1200"/>
      </w:pPr>
    </w:p>
    <w:p>
      <w:pPr>
        <w:spacing w:after="120" w:before="0"/>
        <w:jc w:val="left"/>
      </w:pPr>
      <w:r>
        <w:rPr>
          <w:rFonts w:ascii="Arial" w:cs="Arial" w:eastAsia="Arial" w:hAnsi="Arial"/>
          <w:b/>
          <w:bCs/>
          <w:color w:val="5C3EB5"/>
          <w:sz w:val="56"/>
          <w:szCs w:val="56"/>
        </w:rPr>
        <w:t xml:space="preserve">Technisches Sicherheitskonzept</w:t>
      </w:r>
    </w:p>
    <w:p>
      <w:pPr>
        <w:spacing w:after="80" w:before="0"/>
        <w:jc w:val="left"/>
      </w:pPr>
      <w:r>
        <w:rPr>
          <w:rFonts w:ascii="Arial" w:cs="Arial" w:eastAsia="Arial" w:hAnsi="Arial"/>
          <w:b/>
          <w:bCs/>
          <w:color w:val="1A1A1A"/>
          <w:sz w:val="34"/>
          <w:szCs w:val="34"/>
        </w:rPr>
        <w:t xml:space="preserve">dispDB — Dispositive Datenbank &amp; DnA-Plattform</w:t>
      </w:r>
    </w:p>
    <w:p>
      <w:pPr>
        <w:spacing w:after="400" w:before="0"/>
        <w:jc w:val="left"/>
      </w:pPr>
      <w:r>
        <w:rPr>
          <w:rFonts w:ascii="Arial" w:cs="Arial" w:eastAsia="Arial" w:hAnsi="Arial"/>
          <w:color w:val="555555"/>
          <w:sz w:val="26"/>
          <w:szCs w:val="26"/>
        </w:rPr>
        <w:t xml:space="preserve">MS Fabric · Databricks on Azure · ADLS Gen2</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Attribut</w:t>
            </w:r>
          </w:p>
        </w:tc>
        <w:tc>
          <w:tcPr>
            <w:tcW w:type="dxa" w:w="60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Wert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Dokumenten-ID</w:t>
            </w:r>
          </w:p>
        </w:tc>
        <w:tc>
          <w:tcPr>
            <w:tcW w:type="dxa" w:w="60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TSK-DISPDB-001]</w:t>
            </w:r>
            <w:r>
              <w:rPr>
                <w:rFonts w:ascii="Arial" w:cs="Arial" w:eastAsia="Arial" w:hAnsi="Arial"/>
                <w:color w:val="1A1A1A"/>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Version</w:t>
            </w:r>
          </w:p>
        </w:tc>
        <w:tc>
          <w:tcPr>
            <w:tcW w:type="dxa" w:w="6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1.0 — Entwurf</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Klassifizierung</w:t>
            </w:r>
          </w:p>
        </w:tc>
        <w:tc>
          <w:tcPr>
            <w:tcW w:type="dxa" w:w="60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Vertraulich / Intern</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Autor</w:t>
            </w:r>
          </w:p>
        </w:tc>
        <w:tc>
          <w:tcPr>
            <w:tcW w:type="dxa" w:w="6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Stefan — Technische Projektbegleitung (TPB)</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Erstellt am</w:t>
            </w:r>
          </w:p>
        </w:tc>
        <w:tc>
          <w:tcPr>
            <w:tcW w:type="dxa" w:w="60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TT.MM.JJJJ]</w:t>
            </w:r>
            <w:r>
              <w:rPr>
                <w:rFonts w:ascii="Arial" w:cs="Arial" w:eastAsia="Arial" w:hAnsi="Arial"/>
                <w:color w:val="1A1A1A"/>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Letzte Änderung</w:t>
            </w:r>
          </w:p>
        </w:tc>
        <w:tc>
          <w:tcPr>
            <w:tcW w:type="dxa" w:w="60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TT.MM.JJJJ]</w:t>
            </w:r>
            <w:r>
              <w:rPr>
                <w:rFonts w:ascii="Arial" w:cs="Arial" w:eastAsia="Arial" w:hAnsi="Arial"/>
                <w:color w:val="1A1A1A"/>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Geltungsbereich</w:t>
            </w:r>
          </w:p>
        </w:tc>
        <w:tc>
          <w:tcPr>
            <w:tcW w:type="dxa" w:w="60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dispDB DnA-Plattform inkl. aller Komponenten und Schnittstellen</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Status</w:t>
            </w:r>
          </w:p>
        </w:tc>
        <w:tc>
          <w:tcPr>
            <w:tcW w:type="dxa" w:w="60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Entwurf / In Review / Freigegeben]</w:t>
            </w:r>
            <w:r>
              <w:rPr>
                <w:rFonts w:ascii="Arial" w:cs="Arial" w:eastAsia="Arial" w:hAnsi="Arial"/>
                <w:color w:val="1A1A1A"/>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Nächste Überprüfung</w:t>
            </w:r>
          </w:p>
        </w:tc>
        <w:tc>
          <w:tcPr>
            <w:tcW w:type="dxa" w:w="60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TT.MM.JJJJ — empfohlen: jährlich oder bei wesentlicher Änderung]</w:t>
            </w:r>
            <w:r>
              <w:rPr>
                <w:rFonts w:ascii="Arial" w:cs="Arial" w:eastAsia="Arial" w:hAnsi="Arial"/>
                <w:color w:val="1A1A1A"/>
                <w:sz w:val="20"/>
                <w:szCs w:val="20"/>
              </w:rPr>
              <w:t xml:space="preserve"/>
            </w:r>
          </w:p>
        </w:tc>
      </w:tr>
    </w:tbl>
    <w:p>
      <w:pPr>
        <w:spacing w:after="0" w:before="400"/>
      </w:pPr>
    </w:p>
    <w:p>
      <w:pPr>
        <w:spacing w:after="120" w:before="0"/>
      </w:pPr>
      <w:r>
        <w:rPr>
          <w:rFonts w:ascii="Arial" w:cs="Arial" w:eastAsia="Arial" w:hAnsi="Arial"/>
          <w:b/>
          <w:bCs/>
          <w:color w:val="5C3EB5"/>
          <w:sz w:val="24"/>
          <w:szCs w:val="24"/>
        </w:rPr>
        <w:t xml:space="preserve">Freigaben</w:t>
      </w:r>
    </w:p>
    <w:p>
      <w:pPr>
        <w:spacing w:after="80" w:before="0"/>
      </w:pPr>
      <w:r>
        <w:rPr>
          <w:rFonts w:ascii="Arial" w:cs="Arial" w:eastAsia="Arial" w:hAnsi="Arial"/>
          <w:color w:val="555555"/>
          <w:sz w:val="20"/>
          <w:szCs w:val="20"/>
        </w:rPr>
        <w:t xml:space="preserve">Dieses Dokument tritt mit den nachstehenden Unterschriften in Kraft: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none" w:color="FFFFFF" w:sz="0"/>
              <w:left w:val="none" w:color="FFFFFF" w:sz="0"/>
              <w:bottom w:val="none" w:color="FFFFFF" w:sz="0"/>
              <w:right w:val="none" w:color="FFFFFF" w:sz="0"/>
            </w:tcBorders>
            <w:tcMar>
              <w:top w:type="dxa" w:w="90"/>
              <w:left w:type="dxa" w:w="150"/>
              <w:bottom w:type="dxa" w:w="90"/>
              <w:right w:type="dxa" w:w="150"/>
            </w:tcMar>
          </w:tcPr>
          <w:p>
            <w:pPr>
              <w:spacing w:after="80" w:before="60"/>
            </w:pPr>
            <w:r>
              <w:rPr>
                <w:rFonts w:ascii="Arial" w:cs="Arial" w:eastAsia="Arial" w:hAnsi="Arial"/>
                <w:b/>
                <w:bCs/>
                <w:color w:val="1A1A1A"/>
                <w:sz w:val="20"/>
                <w:szCs w:val="20"/>
              </w:rPr>
              <w:t xml:space="preserve">Rolle:</w:t>
            </w:r>
          </w:p>
        </w:tc>
        <w:tc>
          <w:tcPr>
            <w:tcW w:type="dxa" w:w="3000"/>
            <w:tcBorders>
              <w:top w:val="none" w:color="FFFFFF" w:sz="0"/>
              <w:left w:val="none" w:color="FFFFFF" w:sz="0"/>
              <w:bottom w:val="none" w:color="FFFFFF" w:sz="0"/>
              <w:right w:val="none" w:color="FFFFFF" w:sz="0"/>
            </w:tcBorders>
            <w:tcMar>
              <w:top w:type="dxa" w:w="90"/>
              <w:left w:type="dxa" w:w="150"/>
              <w:bottom w:type="dxa" w:w="90"/>
              <w:right w:type="dxa" w:w="150"/>
            </w:tcMar>
          </w:tcPr>
          <w:p>
            <w:pPr>
              <w:spacing w:after="80" w:before="60"/>
            </w:pPr>
            <w:r>
              <w:rPr>
                <w:rFonts w:ascii="Arial" w:cs="Arial" w:eastAsia="Arial" w:hAnsi="Arial"/>
                <w:b/>
                <w:bCs/>
                <w:color w:val="1A1A1A"/>
                <w:sz w:val="20"/>
                <w:szCs w:val="20"/>
              </w:rPr>
              <w:t xml:space="preserve">Name:</w:t>
            </w:r>
          </w:p>
        </w:tc>
        <w:tc>
          <w:tcPr>
            <w:tcW w:type="dxa" w:w="3026"/>
            <w:tcBorders>
              <w:top w:val="none" w:color="FFFFFF" w:sz="0"/>
              <w:left w:val="none" w:color="FFFFFF" w:sz="0"/>
              <w:bottom w:val="none" w:color="FFFFFF" w:sz="0"/>
              <w:right w:val="none" w:color="FFFFFF" w:sz="0"/>
            </w:tcBorders>
            <w:tcMar>
              <w:top w:type="dxa" w:w="90"/>
              <w:left w:type="dxa" w:w="150"/>
              <w:bottom w:type="dxa" w:w="90"/>
              <w:right w:type="dxa" w:w="150"/>
            </w:tcMar>
          </w:tcPr>
          <w:p>
            <w:pPr>
              <w:spacing w:after="80" w:before="60"/>
            </w:pPr>
            <w:r>
              <w:rPr>
                <w:rFonts w:ascii="Arial" w:cs="Arial" w:eastAsia="Arial" w:hAnsi="Arial"/>
                <w:b/>
                <w:bCs/>
                <w:color w:val="1A1A1A"/>
                <w:sz w:val="20"/>
                <w:szCs w:val="20"/>
              </w:rPr>
              <w:t xml:space="preserve">Datum &amp; Unterschrift:</w:t>
            </w:r>
          </w:p>
        </w:tc>
      </w:tr>
      <w:tr>
        <w:tc>
          <w:tcPr>
            <w:tcW w:type="dxa" w:w="3000"/>
            <w:tcBorders>
              <w:top w:val="single" w:color="5C3EB5" w:sz="1"/>
              <w:left w:val="single" w:color="5C3EB5" w:sz="1"/>
              <w:bottom w:val="single" w:color="5C3EB5" w:sz="1"/>
              <w:right w:val="single" w:color="5C3EB5" w:sz="1"/>
            </w:tcBorders>
            <w:shd w:fill="EDE8FC" w:val="clear"/>
            <w:tcMar>
              <w:top w:type="dxa" w:w="90"/>
              <w:left w:type="dxa" w:w="150"/>
              <w:bottom w:type="dxa" w:w="90"/>
              <w:right w:type="dxa" w:w="150"/>
            </w:tcMar>
          </w:tcPr>
          <w:p>
            <w:pPr>
              <w:spacing w:after="60" w:before="0"/>
            </w:pPr>
            <w:r>
              <w:rPr>
                <w:rFonts w:ascii="Arial" w:cs="Arial" w:eastAsia="Arial" w:hAnsi="Arial"/>
                <w:b/>
                <w:bCs/>
                <w:color w:val="5C3EB5"/>
                <w:sz w:val="20"/>
                <w:szCs w:val="20"/>
              </w:rPr>
              <w:t xml:space="preserve">Technische Projektbegleitung (TPB)</w:t>
            </w:r>
          </w:p>
        </w:tc>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60" w:before="0"/>
            </w:pPr>
            <w:r>
              <w:rPr>
                <w:rFonts w:ascii="Arial" w:cs="Arial" w:eastAsia="Arial" w:hAnsi="Arial"/>
                <w:color w:val="1A1A1A"/>
                <w:sz w:val="20"/>
                <w:szCs w:val="20"/>
              </w:rPr>
              <w:t xml:space="preserve">Stefan</w:t>
            </w:r>
          </w:p>
          <w:p>
            <w:pPr>
              <w:spacing w:after="0" w:before="60"/>
            </w:pPr>
            <w:r>
              <w:rPr>
                <w:rFonts w:ascii="Arial" w:cs="Arial" w:eastAsia="Arial" w:hAnsi="Arial"/>
                <w:color w:val="1A1A1A"/>
                <w:sz w:val="20"/>
                <w:szCs w:val="20"/>
              </w:rPr>
              <w:t xml:space="preserve"/>
            </w:r>
          </w:p>
        </w:tc>
        <w:tc>
          <w:tcPr>
            <w:tcW w:type="dxa" w:w="3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60" w:before="0"/>
            </w:pPr>
            <w:r>
              <w:rPr>
                <w:rFonts w:ascii="Arial" w:cs="Arial" w:eastAsia="Arial" w:hAnsi="Arial"/>
                <w:i/>
                <w:iCs/>
                <w:color w:val="555555"/>
                <w:sz w:val="20"/>
                <w:szCs w:val="20"/>
              </w:rPr>
              <w:t xml:space="preserve">[PLACEHOLDER: Datum]</w:t>
            </w:r>
          </w:p>
          <w:p>
            <w:pPr>
              <w:spacing w:after="0" w:before="60"/>
            </w:pPr>
            <w:r>
              <w:rPr>
                <w:rFonts w:ascii="Arial" w:cs="Arial" w:eastAsia="Arial" w:hAnsi="Arial"/>
                <w:color w:val="555555"/>
                <w:sz w:val="20"/>
                <w:szCs w:val="20"/>
              </w:rPr>
              <w:t xml:space="preserve">_________________________</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none" w:color="FFFFFF" w:sz="0"/>
              <w:left w:val="none" w:color="FFFFFF" w:sz="0"/>
              <w:bottom w:val="none" w:color="FFFFFF" w:sz="0"/>
              <w:right w:val="none" w:color="FFFFFF" w:sz="0"/>
            </w:tcBorders>
            <w:tcMar>
              <w:top w:type="dxa" w:w="90"/>
              <w:left w:type="dxa" w:w="150"/>
              <w:bottom w:type="dxa" w:w="90"/>
              <w:right w:type="dxa" w:w="150"/>
            </w:tcMar>
          </w:tcPr>
          <w:p>
            <w:pPr>
              <w:spacing w:after="80" w:before="60"/>
            </w:pPr>
            <w:r>
              <w:rPr>
                <w:rFonts w:ascii="Arial" w:cs="Arial" w:eastAsia="Arial" w:hAnsi="Arial"/>
                <w:b/>
                <w:bCs/>
                <w:color w:val="1A1A1A"/>
                <w:sz w:val="20"/>
                <w:szCs w:val="20"/>
              </w:rPr>
              <w:t xml:space="preserve">Rolle:</w:t>
            </w:r>
          </w:p>
        </w:tc>
        <w:tc>
          <w:tcPr>
            <w:tcW w:type="dxa" w:w="3000"/>
            <w:tcBorders>
              <w:top w:val="none" w:color="FFFFFF" w:sz="0"/>
              <w:left w:val="none" w:color="FFFFFF" w:sz="0"/>
              <w:bottom w:val="none" w:color="FFFFFF" w:sz="0"/>
              <w:right w:val="none" w:color="FFFFFF" w:sz="0"/>
            </w:tcBorders>
            <w:tcMar>
              <w:top w:type="dxa" w:w="90"/>
              <w:left w:type="dxa" w:w="150"/>
              <w:bottom w:type="dxa" w:w="90"/>
              <w:right w:type="dxa" w:w="150"/>
            </w:tcMar>
          </w:tcPr>
          <w:p>
            <w:pPr>
              <w:spacing w:after="80" w:before="60"/>
            </w:pPr>
            <w:r>
              <w:rPr>
                <w:rFonts w:ascii="Arial" w:cs="Arial" w:eastAsia="Arial" w:hAnsi="Arial"/>
                <w:b/>
                <w:bCs/>
                <w:color w:val="1A1A1A"/>
                <w:sz w:val="20"/>
                <w:szCs w:val="20"/>
              </w:rPr>
              <w:t xml:space="preserve">Name:</w:t>
            </w:r>
          </w:p>
        </w:tc>
        <w:tc>
          <w:tcPr>
            <w:tcW w:type="dxa" w:w="3026"/>
            <w:tcBorders>
              <w:top w:val="none" w:color="FFFFFF" w:sz="0"/>
              <w:left w:val="none" w:color="FFFFFF" w:sz="0"/>
              <w:bottom w:val="none" w:color="FFFFFF" w:sz="0"/>
              <w:right w:val="none" w:color="FFFFFF" w:sz="0"/>
            </w:tcBorders>
            <w:tcMar>
              <w:top w:type="dxa" w:w="90"/>
              <w:left w:type="dxa" w:w="150"/>
              <w:bottom w:type="dxa" w:w="90"/>
              <w:right w:type="dxa" w:w="150"/>
            </w:tcMar>
          </w:tcPr>
          <w:p>
            <w:pPr>
              <w:spacing w:after="80" w:before="60"/>
            </w:pPr>
            <w:r>
              <w:rPr>
                <w:rFonts w:ascii="Arial" w:cs="Arial" w:eastAsia="Arial" w:hAnsi="Arial"/>
                <w:b/>
                <w:bCs/>
                <w:color w:val="1A1A1A"/>
                <w:sz w:val="20"/>
                <w:szCs w:val="20"/>
              </w:rPr>
              <w:t xml:space="preserve">Datum &amp; Unterschrift:</w:t>
            </w:r>
          </w:p>
        </w:tc>
      </w:tr>
      <w:tr>
        <w:tc>
          <w:tcPr>
            <w:tcW w:type="dxa" w:w="3000"/>
            <w:tcBorders>
              <w:top w:val="single" w:color="5C3EB5" w:sz="1"/>
              <w:left w:val="single" w:color="5C3EB5" w:sz="1"/>
              <w:bottom w:val="single" w:color="5C3EB5" w:sz="1"/>
              <w:right w:val="single" w:color="5C3EB5" w:sz="1"/>
            </w:tcBorders>
            <w:shd w:fill="EDE8FC" w:val="clear"/>
            <w:tcMar>
              <w:top w:type="dxa" w:w="90"/>
              <w:left w:type="dxa" w:w="150"/>
              <w:bottom w:type="dxa" w:w="90"/>
              <w:right w:type="dxa" w:w="150"/>
            </w:tcMar>
          </w:tcPr>
          <w:p>
            <w:pPr>
              <w:spacing w:after="60" w:before="0"/>
            </w:pPr>
            <w:r>
              <w:rPr>
                <w:rFonts w:ascii="Arial" w:cs="Arial" w:eastAsia="Arial" w:hAnsi="Arial"/>
                <w:b/>
                <w:bCs/>
                <w:color w:val="5C3EB5"/>
                <w:sz w:val="20"/>
                <w:szCs w:val="20"/>
              </w:rPr>
              <w:t xml:space="preserve">Informationssicherheitsbeauftragter (ISB)</w:t>
            </w:r>
          </w:p>
        </w:tc>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60" w:before="0"/>
            </w:pPr>
            <w:r>
              <w:rPr>
                <w:rFonts w:ascii="Arial" w:cs="Arial" w:eastAsia="Arial" w:hAnsi="Arial"/>
                <w:color w:val="1A1A1A"/>
                <w:sz w:val="20"/>
                <w:szCs w:val="20"/>
              </w:rPr>
              <w:t xml:space="preserve">[PLACEHOLDER: Name]</w:t>
            </w:r>
          </w:p>
          <w:p>
            <w:pPr>
              <w:spacing w:after="0" w:before="60"/>
            </w:pPr>
            <w:r>
              <w:rPr>
                <w:rFonts w:ascii="Arial" w:cs="Arial" w:eastAsia="Arial" w:hAnsi="Arial"/>
                <w:color w:val="1A1A1A"/>
                <w:sz w:val="20"/>
                <w:szCs w:val="20"/>
              </w:rPr>
              <w:t xml:space="preserve"/>
            </w:r>
          </w:p>
        </w:tc>
        <w:tc>
          <w:tcPr>
            <w:tcW w:type="dxa" w:w="3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60" w:before="0"/>
            </w:pPr>
            <w:r>
              <w:rPr>
                <w:rFonts w:ascii="Arial" w:cs="Arial" w:eastAsia="Arial" w:hAnsi="Arial"/>
                <w:i/>
                <w:iCs/>
                <w:color w:val="555555"/>
                <w:sz w:val="20"/>
                <w:szCs w:val="20"/>
              </w:rPr>
              <w:t xml:space="preserve">[PLACEHOLDER: Datum]</w:t>
            </w:r>
          </w:p>
          <w:p>
            <w:pPr>
              <w:spacing w:after="0" w:before="60"/>
            </w:pPr>
            <w:r>
              <w:rPr>
                <w:rFonts w:ascii="Arial" w:cs="Arial" w:eastAsia="Arial" w:hAnsi="Arial"/>
                <w:color w:val="555555"/>
                <w:sz w:val="20"/>
                <w:szCs w:val="20"/>
              </w:rPr>
              <w:t xml:space="preserve">_________________________</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none" w:color="FFFFFF" w:sz="0"/>
              <w:left w:val="none" w:color="FFFFFF" w:sz="0"/>
              <w:bottom w:val="none" w:color="FFFFFF" w:sz="0"/>
              <w:right w:val="none" w:color="FFFFFF" w:sz="0"/>
            </w:tcBorders>
            <w:tcMar>
              <w:top w:type="dxa" w:w="90"/>
              <w:left w:type="dxa" w:w="150"/>
              <w:bottom w:type="dxa" w:w="90"/>
              <w:right w:type="dxa" w:w="150"/>
            </w:tcMar>
          </w:tcPr>
          <w:p>
            <w:pPr>
              <w:spacing w:after="80" w:before="60"/>
            </w:pPr>
            <w:r>
              <w:rPr>
                <w:rFonts w:ascii="Arial" w:cs="Arial" w:eastAsia="Arial" w:hAnsi="Arial"/>
                <w:b/>
                <w:bCs/>
                <w:color w:val="1A1A1A"/>
                <w:sz w:val="20"/>
                <w:szCs w:val="20"/>
              </w:rPr>
              <w:t xml:space="preserve">Rolle:</w:t>
            </w:r>
          </w:p>
        </w:tc>
        <w:tc>
          <w:tcPr>
            <w:tcW w:type="dxa" w:w="3000"/>
            <w:tcBorders>
              <w:top w:val="none" w:color="FFFFFF" w:sz="0"/>
              <w:left w:val="none" w:color="FFFFFF" w:sz="0"/>
              <w:bottom w:val="none" w:color="FFFFFF" w:sz="0"/>
              <w:right w:val="none" w:color="FFFFFF" w:sz="0"/>
            </w:tcBorders>
            <w:tcMar>
              <w:top w:type="dxa" w:w="90"/>
              <w:left w:type="dxa" w:w="150"/>
              <w:bottom w:type="dxa" w:w="90"/>
              <w:right w:type="dxa" w:w="150"/>
            </w:tcMar>
          </w:tcPr>
          <w:p>
            <w:pPr>
              <w:spacing w:after="80" w:before="60"/>
            </w:pPr>
            <w:r>
              <w:rPr>
                <w:rFonts w:ascii="Arial" w:cs="Arial" w:eastAsia="Arial" w:hAnsi="Arial"/>
                <w:b/>
                <w:bCs/>
                <w:color w:val="1A1A1A"/>
                <w:sz w:val="20"/>
                <w:szCs w:val="20"/>
              </w:rPr>
              <w:t xml:space="preserve">Name:</w:t>
            </w:r>
          </w:p>
        </w:tc>
        <w:tc>
          <w:tcPr>
            <w:tcW w:type="dxa" w:w="3026"/>
            <w:tcBorders>
              <w:top w:val="none" w:color="FFFFFF" w:sz="0"/>
              <w:left w:val="none" w:color="FFFFFF" w:sz="0"/>
              <w:bottom w:val="none" w:color="FFFFFF" w:sz="0"/>
              <w:right w:val="none" w:color="FFFFFF" w:sz="0"/>
            </w:tcBorders>
            <w:tcMar>
              <w:top w:type="dxa" w:w="90"/>
              <w:left w:type="dxa" w:w="150"/>
              <w:bottom w:type="dxa" w:w="90"/>
              <w:right w:type="dxa" w:w="150"/>
            </w:tcMar>
          </w:tcPr>
          <w:p>
            <w:pPr>
              <w:spacing w:after="80" w:before="60"/>
            </w:pPr>
            <w:r>
              <w:rPr>
                <w:rFonts w:ascii="Arial" w:cs="Arial" w:eastAsia="Arial" w:hAnsi="Arial"/>
                <w:b/>
                <w:bCs/>
                <w:color w:val="1A1A1A"/>
                <w:sz w:val="20"/>
                <w:szCs w:val="20"/>
              </w:rPr>
              <w:t xml:space="preserve">Datum &amp; Unterschrift:</w:t>
            </w:r>
          </w:p>
        </w:tc>
      </w:tr>
      <w:tr>
        <w:tc>
          <w:tcPr>
            <w:tcW w:type="dxa" w:w="3000"/>
            <w:tcBorders>
              <w:top w:val="single" w:color="5C3EB5" w:sz="1"/>
              <w:left w:val="single" w:color="5C3EB5" w:sz="1"/>
              <w:bottom w:val="single" w:color="5C3EB5" w:sz="1"/>
              <w:right w:val="single" w:color="5C3EB5" w:sz="1"/>
            </w:tcBorders>
            <w:shd w:fill="EDE8FC" w:val="clear"/>
            <w:tcMar>
              <w:top w:type="dxa" w:w="90"/>
              <w:left w:type="dxa" w:w="150"/>
              <w:bottom w:type="dxa" w:w="90"/>
              <w:right w:type="dxa" w:w="150"/>
            </w:tcMar>
          </w:tcPr>
          <w:p>
            <w:pPr>
              <w:spacing w:after="60" w:before="0"/>
            </w:pPr>
            <w:r>
              <w:rPr>
                <w:rFonts w:ascii="Arial" w:cs="Arial" w:eastAsia="Arial" w:hAnsi="Arial"/>
                <w:b/>
                <w:bCs/>
                <w:color w:val="5C3EB5"/>
                <w:sz w:val="20"/>
                <w:szCs w:val="20"/>
              </w:rPr>
              <w:t xml:space="preserve">Compliance-Beauftragter</w:t>
            </w:r>
          </w:p>
        </w:tc>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60" w:before="0"/>
            </w:pPr>
            <w:r>
              <w:rPr>
                <w:rFonts w:ascii="Arial" w:cs="Arial" w:eastAsia="Arial" w:hAnsi="Arial"/>
                <w:color w:val="1A1A1A"/>
                <w:sz w:val="20"/>
                <w:szCs w:val="20"/>
              </w:rPr>
              <w:t xml:space="preserve">[PLACEHOLDER: Name]</w:t>
            </w:r>
          </w:p>
          <w:p>
            <w:pPr>
              <w:spacing w:after="0" w:before="60"/>
            </w:pPr>
            <w:r>
              <w:rPr>
                <w:rFonts w:ascii="Arial" w:cs="Arial" w:eastAsia="Arial" w:hAnsi="Arial"/>
                <w:color w:val="1A1A1A"/>
                <w:sz w:val="20"/>
                <w:szCs w:val="20"/>
              </w:rPr>
              <w:t xml:space="preserve"/>
            </w:r>
          </w:p>
        </w:tc>
        <w:tc>
          <w:tcPr>
            <w:tcW w:type="dxa" w:w="3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60" w:before="0"/>
            </w:pPr>
            <w:r>
              <w:rPr>
                <w:rFonts w:ascii="Arial" w:cs="Arial" w:eastAsia="Arial" w:hAnsi="Arial"/>
                <w:i/>
                <w:iCs/>
                <w:color w:val="555555"/>
                <w:sz w:val="20"/>
                <w:szCs w:val="20"/>
              </w:rPr>
              <w:t xml:space="preserve">[PLACEHOLDER: Datum]</w:t>
            </w:r>
          </w:p>
          <w:p>
            <w:pPr>
              <w:spacing w:after="0" w:before="60"/>
            </w:pPr>
            <w:r>
              <w:rPr>
                <w:rFonts w:ascii="Arial" w:cs="Arial" w:eastAsia="Arial" w:hAnsi="Arial"/>
                <w:color w:val="555555"/>
                <w:sz w:val="20"/>
                <w:szCs w:val="20"/>
              </w:rPr>
              <w:t xml:space="preserve">_________________________</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none" w:color="FFFFFF" w:sz="0"/>
              <w:left w:val="none" w:color="FFFFFF" w:sz="0"/>
              <w:bottom w:val="none" w:color="FFFFFF" w:sz="0"/>
              <w:right w:val="none" w:color="FFFFFF" w:sz="0"/>
            </w:tcBorders>
            <w:tcMar>
              <w:top w:type="dxa" w:w="90"/>
              <w:left w:type="dxa" w:w="150"/>
              <w:bottom w:type="dxa" w:w="90"/>
              <w:right w:type="dxa" w:w="150"/>
            </w:tcMar>
          </w:tcPr>
          <w:p>
            <w:pPr>
              <w:spacing w:after="80" w:before="60"/>
            </w:pPr>
            <w:r>
              <w:rPr>
                <w:rFonts w:ascii="Arial" w:cs="Arial" w:eastAsia="Arial" w:hAnsi="Arial"/>
                <w:b/>
                <w:bCs/>
                <w:color w:val="1A1A1A"/>
                <w:sz w:val="20"/>
                <w:szCs w:val="20"/>
              </w:rPr>
              <w:t xml:space="preserve">Rolle:</w:t>
            </w:r>
          </w:p>
        </w:tc>
        <w:tc>
          <w:tcPr>
            <w:tcW w:type="dxa" w:w="3000"/>
            <w:tcBorders>
              <w:top w:val="none" w:color="FFFFFF" w:sz="0"/>
              <w:left w:val="none" w:color="FFFFFF" w:sz="0"/>
              <w:bottom w:val="none" w:color="FFFFFF" w:sz="0"/>
              <w:right w:val="none" w:color="FFFFFF" w:sz="0"/>
            </w:tcBorders>
            <w:tcMar>
              <w:top w:type="dxa" w:w="90"/>
              <w:left w:type="dxa" w:w="150"/>
              <w:bottom w:type="dxa" w:w="90"/>
              <w:right w:type="dxa" w:w="150"/>
            </w:tcMar>
          </w:tcPr>
          <w:p>
            <w:pPr>
              <w:spacing w:after="80" w:before="60"/>
            </w:pPr>
            <w:r>
              <w:rPr>
                <w:rFonts w:ascii="Arial" w:cs="Arial" w:eastAsia="Arial" w:hAnsi="Arial"/>
                <w:b/>
                <w:bCs/>
                <w:color w:val="1A1A1A"/>
                <w:sz w:val="20"/>
                <w:szCs w:val="20"/>
              </w:rPr>
              <w:t xml:space="preserve">Name:</w:t>
            </w:r>
          </w:p>
        </w:tc>
        <w:tc>
          <w:tcPr>
            <w:tcW w:type="dxa" w:w="3026"/>
            <w:tcBorders>
              <w:top w:val="none" w:color="FFFFFF" w:sz="0"/>
              <w:left w:val="none" w:color="FFFFFF" w:sz="0"/>
              <w:bottom w:val="none" w:color="FFFFFF" w:sz="0"/>
              <w:right w:val="none" w:color="FFFFFF" w:sz="0"/>
            </w:tcBorders>
            <w:tcMar>
              <w:top w:type="dxa" w:w="90"/>
              <w:left w:type="dxa" w:w="150"/>
              <w:bottom w:type="dxa" w:w="90"/>
              <w:right w:type="dxa" w:w="150"/>
            </w:tcMar>
          </w:tcPr>
          <w:p>
            <w:pPr>
              <w:spacing w:after="80" w:before="60"/>
            </w:pPr>
            <w:r>
              <w:rPr>
                <w:rFonts w:ascii="Arial" w:cs="Arial" w:eastAsia="Arial" w:hAnsi="Arial"/>
                <w:b/>
                <w:bCs/>
                <w:color w:val="1A1A1A"/>
                <w:sz w:val="20"/>
                <w:szCs w:val="20"/>
              </w:rPr>
              <w:t xml:space="preserve">Datum &amp; Unterschrift:</w:t>
            </w:r>
          </w:p>
        </w:tc>
      </w:tr>
      <w:tr>
        <w:tc>
          <w:tcPr>
            <w:tcW w:type="dxa" w:w="3000"/>
            <w:tcBorders>
              <w:top w:val="single" w:color="5C3EB5" w:sz="1"/>
              <w:left w:val="single" w:color="5C3EB5" w:sz="1"/>
              <w:bottom w:val="single" w:color="5C3EB5" w:sz="1"/>
              <w:right w:val="single" w:color="5C3EB5" w:sz="1"/>
            </w:tcBorders>
            <w:shd w:fill="EDE8FC" w:val="clear"/>
            <w:tcMar>
              <w:top w:type="dxa" w:w="90"/>
              <w:left w:type="dxa" w:w="150"/>
              <w:bottom w:type="dxa" w:w="90"/>
              <w:right w:type="dxa" w:w="150"/>
            </w:tcMar>
          </w:tcPr>
          <w:p>
            <w:pPr>
              <w:spacing w:after="60" w:before="0"/>
            </w:pPr>
            <w:r>
              <w:rPr>
                <w:rFonts w:ascii="Arial" w:cs="Arial" w:eastAsia="Arial" w:hAnsi="Arial"/>
                <w:b/>
                <w:bCs/>
                <w:color w:val="5C3EB5"/>
                <w:sz w:val="20"/>
                <w:szCs w:val="20"/>
              </w:rPr>
              <w:t xml:space="preserve">Datenschutzbeauftragter (DSB)</w:t>
            </w:r>
          </w:p>
        </w:tc>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60" w:before="0"/>
            </w:pPr>
            <w:r>
              <w:rPr>
                <w:rFonts w:ascii="Arial" w:cs="Arial" w:eastAsia="Arial" w:hAnsi="Arial"/>
                <w:color w:val="1A1A1A"/>
                <w:sz w:val="20"/>
                <w:szCs w:val="20"/>
              </w:rPr>
              <w:t xml:space="preserve">[PLACEHOLDER: Name]</w:t>
            </w:r>
          </w:p>
          <w:p>
            <w:pPr>
              <w:spacing w:after="0" w:before="60"/>
            </w:pPr>
            <w:r>
              <w:rPr>
                <w:rFonts w:ascii="Arial" w:cs="Arial" w:eastAsia="Arial" w:hAnsi="Arial"/>
                <w:color w:val="1A1A1A"/>
                <w:sz w:val="20"/>
                <w:szCs w:val="20"/>
              </w:rPr>
              <w:t xml:space="preserve"/>
            </w:r>
          </w:p>
        </w:tc>
        <w:tc>
          <w:tcPr>
            <w:tcW w:type="dxa" w:w="3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60" w:before="0"/>
            </w:pPr>
            <w:r>
              <w:rPr>
                <w:rFonts w:ascii="Arial" w:cs="Arial" w:eastAsia="Arial" w:hAnsi="Arial"/>
                <w:i/>
                <w:iCs/>
                <w:color w:val="555555"/>
                <w:sz w:val="20"/>
                <w:szCs w:val="20"/>
              </w:rPr>
              <w:t xml:space="preserve">[PLACEHOLDER: Datum]</w:t>
            </w:r>
          </w:p>
          <w:p>
            <w:pPr>
              <w:spacing w:after="0" w:before="60"/>
            </w:pPr>
            <w:r>
              <w:rPr>
                <w:rFonts w:ascii="Arial" w:cs="Arial" w:eastAsia="Arial" w:hAnsi="Arial"/>
                <w:color w:val="555555"/>
                <w:sz w:val="20"/>
                <w:szCs w:val="20"/>
              </w:rPr>
              <w:t xml:space="preserve">_________________________</w:t>
            </w:r>
          </w:p>
        </w:tc>
      </w:tr>
    </w:tbl>
    <w:p>
      <w:pPr>
        <w:spacing w:after="0" w:before="200"/>
      </w:pPr>
    </w:p>
    <w:p>
      <w:pPr>
        <w:pBdr>
          <w:top w:val="single" w:color="CCCCCC" w:sz="4" w:space="1"/>
        </w:pBdr>
        <w:spacing w:after="0" w:before="120"/>
        <w:jc w:val="center"/>
      </w:pPr>
      <w:r>
        <w:rPr>
          <w:rFonts w:ascii="Arial" w:cs="Arial" w:eastAsia="Arial" w:hAnsi="Arial"/>
          <w:i/>
          <w:iCs/>
          <w:color w:val="555555"/>
          <w:sz w:val="18"/>
          <w:szCs w:val="18"/>
        </w:rPr>
        <w:t xml:space="preserve">Dieses Dokument ist ein internes Arbeitsdokument. Es ersetzt keine formale juristische oder regulatorische Beratung.</w:t>
      </w:r>
    </w:p>
    <w:p>
      <w:pPr>
        <w:sectPr>
          <w:pgSz w:w="11906" w:h="16838" w:orient="portrait"/>
          <w:pgMar w:top="1440" w:right="1440" w:bottom="1440" w:left="1440" w:header="708" w:footer="708"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7F2" w:val="clear"/>
            <w:tcMar>
              <w:top w:type="dxa" w:w="120"/>
              <w:left w:type="dxa" w:w="180"/>
              <w:bottom w:type="dxa" w:w="120"/>
              <w:right w:type="dxa" w:w="180"/>
            </w:tcMar>
          </w:tcPr>
          <w:p>
            <w:pPr>
              <w:spacing w:after="60" w:before="0"/>
            </w:pPr>
            <w:r>
              <w:rPr>
                <w:rFonts w:ascii="Arial" w:cs="Arial" w:eastAsia="Arial" w:hAnsi="Arial"/>
                <w:b/>
                <w:bCs/>
                <w:color w:val="0A6E51"/>
                <w:sz w:val="21"/>
                <w:szCs w:val="21"/>
              </w:rPr>
              <w:t xml:space="preserve">Lesehinweis zu Platzhaltern</w:t>
            </w:r>
          </w:p>
          <w:p>
            <w:pPr>
              <w:spacing w:after="40" w:before="0"/>
            </w:pPr>
            <w:r>
              <w:rPr>
                <w:rFonts w:ascii="Arial" w:cs="Arial" w:eastAsia="Arial" w:hAnsi="Arial"/>
                <w:color w:val="1A1A1A"/>
                <w:sz w:val="20"/>
                <w:szCs w:val="20"/>
              </w:rPr>
              <w:t xml:space="preserve">Alle mit [PLACEHOLDER: ...] markierten Felder sind mit projektspezifischen, internen oder noch zu ermittelnden Werten zu befüllen, bevor dieses Dokument zur formalen Abnahme eingereicht wird. Die Platzhalter sind bewusst sichtbar gelassen, damit der Bearbeitungsstand auf einen Blick erkennbar ist.</w:t>
            </w:r>
          </w:p>
        </w:tc>
      </w:tr>
    </w:tbl>
    <w:p>
      <w:pPr>
        <w:spacing w:after="0" w:before="160"/>
      </w:pPr>
    </w:p>
    <w:p>
      <w:pPr>
        <w:pStyle w:val="Heading1"/>
        <w:spacing w:after="160" w:before="360"/>
      </w:pPr>
      <w:r>
        <w:rPr>
          <w:rFonts w:ascii="Arial" w:cs="Arial" w:eastAsia="Arial" w:hAnsi="Arial"/>
          <w:b/>
          <w:bCs/>
          <w:color w:val="5C3EB5"/>
          <w:sz w:val="30"/>
          <w:szCs w:val="30"/>
        </w:rPr>
        <w:t xml:space="preserve">1. Dokumenteninformationen &amp; Zweck</w:t>
      </w:r>
    </w:p>
    <w:p>
      <w:pPr>
        <w:pStyle w:val="Heading2"/>
        <w:spacing w:after="120" w:before="240"/>
      </w:pPr>
      <w:r>
        <w:rPr>
          <w:rFonts w:ascii="Arial" w:cs="Arial" w:eastAsia="Arial" w:hAnsi="Arial"/>
          <w:b/>
          <w:bCs/>
          <w:color w:val="5C3EB5"/>
          <w:sz w:val="25"/>
          <w:szCs w:val="25"/>
        </w:rPr>
        <w:t xml:space="preserve">1.1 Zweck dieses Dokuments</w:t>
      </w:r>
    </w:p>
    <w:p>
      <w:pPr>
        <w:spacing w:after="80" w:before="60"/>
      </w:pPr>
      <w:r>
        <w:rPr>
          <w:rFonts w:ascii="Arial" w:cs="Arial" w:eastAsia="Arial" w:hAnsi="Arial"/>
          <w:color w:val="1A1A1A"/>
          <w:sz w:val="22"/>
          <w:szCs w:val="22"/>
        </w:rPr>
        <w:t xml:space="preserve">Das vorliegende Technische Sicherheitskonzept (TSK) beschreibt die Sicherheitsarchitektur, Schutzmaßnahmen und Governance-Strukturen der dispositiven Datenbank (dispDB) und der übergeordneten Data &amp; Analytics (DnA)-Plattform des Unternehmens.</w:t>
      </w:r>
    </w:p>
    <w:p>
      <w:pPr>
        <w:spacing w:after="80" w:before="60"/>
      </w:pPr>
      <w:r>
        <w:rPr>
          <w:rFonts w:ascii="Arial" w:cs="Arial" w:eastAsia="Arial" w:hAnsi="Arial"/>
          <w:color w:val="1A1A1A"/>
          <w:sz w:val="22"/>
          <w:szCs w:val="22"/>
        </w:rPr>
        <w:t xml:space="preserve">Es dient als:</w:t>
      </w:r>
    </w:p>
    <w:p>
      <w:pPr>
        <w:pStyle w:val="ListParagraph"/>
        <w:numPr>
          <w:ilvl w:val="0"/>
          <w:numId w:val="2"/>
        </w:numPr>
        <w:spacing w:after="40" w:before="40"/>
      </w:pPr>
      <w:r>
        <w:rPr>
          <w:rFonts w:ascii="Arial" w:cs="Arial" w:eastAsia="Arial" w:hAnsi="Arial"/>
          <w:color w:val="1A1A1A"/>
          <w:sz w:val="22"/>
          <w:szCs w:val="22"/>
        </w:rPr>
        <w:t xml:space="preserve">Nachweis der DORA-Konformität (ICT-Risikomanagement, Audit Trail, Drittanbieter-Management)</w:t>
      </w:r>
    </w:p>
    <w:p>
      <w:pPr>
        <w:pStyle w:val="ListParagraph"/>
        <w:numPr>
          <w:ilvl w:val="0"/>
          <w:numId w:val="2"/>
        </w:numPr>
        <w:spacing w:after="40" w:before="40"/>
      </w:pPr>
      <w:r>
        <w:rPr>
          <w:rFonts w:ascii="Arial" w:cs="Arial" w:eastAsia="Arial" w:hAnsi="Arial"/>
          <w:color w:val="1A1A1A"/>
          <w:sz w:val="22"/>
          <w:szCs w:val="22"/>
        </w:rPr>
        <w:t xml:space="preserve">Grundlage für die formale Abnahme durch Compliance-Beauftragten, ISB und DSB</w:t>
      </w:r>
    </w:p>
    <w:p>
      <w:pPr>
        <w:pStyle w:val="ListParagraph"/>
        <w:numPr>
          <w:ilvl w:val="0"/>
          <w:numId w:val="2"/>
        </w:numPr>
        <w:spacing w:after="40" w:before="40"/>
      </w:pPr>
      <w:r>
        <w:rPr>
          <w:rFonts w:ascii="Arial" w:cs="Arial" w:eastAsia="Arial" w:hAnsi="Arial"/>
          <w:color w:val="1A1A1A"/>
          <w:sz w:val="22"/>
          <w:szCs w:val="22"/>
        </w:rPr>
        <w:t xml:space="preserve">Arbeitsdokument für den Technischen Projektbegleiter (TPB) zur Dokumentation technischer Schutzmaßnahmen</w:t>
      </w:r>
    </w:p>
    <w:p>
      <w:pPr>
        <w:pStyle w:val="ListParagraph"/>
        <w:numPr>
          <w:ilvl w:val="0"/>
          <w:numId w:val="2"/>
        </w:numPr>
        <w:spacing w:after="40" w:before="40"/>
      </w:pPr>
      <w:r>
        <w:rPr>
          <w:rFonts w:ascii="Arial" w:cs="Arial" w:eastAsia="Arial" w:hAnsi="Arial"/>
          <w:color w:val="1A1A1A"/>
          <w:sz w:val="22"/>
          <w:szCs w:val="22"/>
        </w:rPr>
        <w:t xml:space="preserve">Referenzdokument für interne und externe Prüfungen (Interne Revision, BaFin-Prüfung)</w:t>
      </w:r>
    </w:p>
    <w:p>
      <w:pPr>
        <w:spacing w:after="0" w:before="100"/>
      </w:pPr>
    </w:p>
    <w:p>
      <w:pPr>
        <w:pStyle w:val="Heading2"/>
        <w:spacing w:after="120" w:before="240"/>
      </w:pPr>
      <w:r>
        <w:rPr>
          <w:rFonts w:ascii="Arial" w:cs="Arial" w:eastAsia="Arial" w:hAnsi="Arial"/>
          <w:b/>
          <w:bCs/>
          <w:color w:val="5C3EB5"/>
          <w:sz w:val="25"/>
          <w:szCs w:val="25"/>
        </w:rPr>
        <w:t xml:space="preserve">1.2 Geltungsbereich</w:t>
      </w:r>
    </w:p>
    <w:p>
      <w:pPr>
        <w:spacing w:after="80" w:before="60"/>
      </w:pPr>
      <w:r>
        <w:rPr>
          <w:rFonts w:ascii="Arial" w:cs="Arial" w:eastAsia="Arial" w:hAnsi="Arial"/>
          <w:color w:val="1A1A1A"/>
          <w:sz w:val="22"/>
          <w:szCs w:val="22"/>
        </w:rPr>
        <w:t xml:space="preserve">Dieses TSK gilt für alle Komponenten der dispDB DnA-Plattform, einschließlich:</w:t>
      </w:r>
    </w:p>
    <w:p>
      <w:pPr>
        <w:pStyle w:val="ListParagraph"/>
        <w:numPr>
          <w:ilvl w:val="0"/>
          <w:numId w:val="2"/>
        </w:numPr>
        <w:spacing w:after="40" w:before="40"/>
      </w:pPr>
      <w:r>
        <w:rPr>
          <w:rFonts w:ascii="Arial" w:cs="Arial" w:eastAsia="Arial" w:hAnsi="Arial"/>
          <w:color w:val="1A1A1A"/>
          <w:sz w:val="22"/>
          <w:szCs w:val="22"/>
        </w:rPr>
        <w:t xml:space="preserve">MS Fabric (Data Factory, Power BI, OneLake, Lakehouse, Monitor Hub)</w:t>
      </w:r>
    </w:p>
    <w:p>
      <w:pPr>
        <w:pStyle w:val="ListParagraph"/>
        <w:numPr>
          <w:ilvl w:val="0"/>
          <w:numId w:val="2"/>
        </w:numPr>
        <w:spacing w:after="40" w:before="40"/>
      </w:pPr>
      <w:r>
        <w:rPr>
          <w:rFonts w:ascii="Arial" w:cs="Arial" w:eastAsia="Arial" w:hAnsi="Arial"/>
          <w:color w:val="1A1A1A"/>
          <w:sz w:val="22"/>
          <w:szCs w:val="22"/>
        </w:rPr>
        <w:t xml:space="preserve">Databricks on Azure (Notebooks, Jobs, Unity Catalog, Medallion-Architektur)</w:t>
      </w:r>
    </w:p>
    <w:p>
      <w:pPr>
        <w:pStyle w:val="ListParagraph"/>
        <w:numPr>
          <w:ilvl w:val="0"/>
          <w:numId w:val="2"/>
        </w:numPr>
        <w:spacing w:after="40" w:before="40"/>
      </w:pPr>
      <w:r>
        <w:rPr>
          <w:rFonts w:ascii="Arial" w:cs="Arial" w:eastAsia="Arial" w:hAnsi="Arial"/>
          <w:color w:val="1A1A1A"/>
          <w:sz w:val="22"/>
          <w:szCs w:val="22"/>
        </w:rPr>
        <w:t xml:space="preserve">Azure Data Lake Storage Gen2 (ADLS) als zentraler Speicherschicht</w:t>
      </w:r>
    </w:p>
    <w:p>
      <w:pPr>
        <w:pStyle w:val="ListParagraph"/>
        <w:numPr>
          <w:ilvl w:val="0"/>
          <w:numId w:val="2"/>
        </w:numPr>
        <w:spacing w:after="40" w:before="40"/>
      </w:pPr>
      <w:r>
        <w:rPr>
          <w:rFonts w:ascii="Arial" w:cs="Arial" w:eastAsia="Arial" w:hAnsi="Arial"/>
          <w:color w:val="1A1A1A"/>
          <w:sz w:val="22"/>
          <w:szCs w:val="22"/>
        </w:rPr>
        <w:t xml:space="preserve">Self-hosted Integration Runtime (SHIR) als Brücke zu Legacy-Quellsystemen</w:t>
      </w:r>
    </w:p>
    <w:p>
      <w:pPr>
        <w:pStyle w:val="ListParagraph"/>
        <w:numPr>
          <w:ilvl w:val="0"/>
          <w:numId w:val="2"/>
        </w:numPr>
        <w:spacing w:after="40" w:before="40"/>
      </w:pPr>
      <w:r>
        <w:rPr>
          <w:rFonts w:ascii="Arial" w:cs="Arial" w:eastAsia="Arial" w:hAnsi="Arial"/>
          <w:color w:val="1A1A1A"/>
          <w:sz w:val="22"/>
          <w:szCs w:val="22"/>
        </w:rPr>
        <w:t xml:space="preserve">Quellsystemanbindungen: IBM AS/400 / Power i (ODBC) und Oracle 11g R2 (oracledb Thick Mode)</w:t>
      </w:r>
    </w:p>
    <w:p>
      <w:pPr>
        <w:pStyle w:val="ListParagraph"/>
        <w:numPr>
          <w:ilvl w:val="0"/>
          <w:numId w:val="2"/>
        </w:numPr>
        <w:spacing w:after="40" w:before="40"/>
      </w:pPr>
      <w:r>
        <w:rPr>
          <w:rFonts w:ascii="Arial" w:cs="Arial" w:eastAsia="Arial" w:hAnsi="Arial"/>
          <w:color w:val="1A1A1A"/>
          <w:sz w:val="22"/>
          <w:szCs w:val="22"/>
        </w:rPr>
        <w:t xml:space="preserve">Power BI Semantic Model und DirectLake-Reporting</w:t>
      </w:r>
    </w:p>
    <w:p>
      <w:pPr>
        <w:spacing w:after="0" w:before="100"/>
      </w:pPr>
    </w:p>
    <w:p>
      <w:pPr>
        <w:pStyle w:val="Heading2"/>
        <w:spacing w:after="120" w:before="240"/>
      </w:pPr>
      <w:r>
        <w:rPr>
          <w:rFonts w:ascii="Arial" w:cs="Arial" w:eastAsia="Arial" w:hAnsi="Arial"/>
          <w:b/>
          <w:bCs/>
          <w:color w:val="5C3EB5"/>
          <w:sz w:val="25"/>
          <w:szCs w:val="25"/>
        </w:rPr>
        <w:t xml:space="preserve">1.3 Versionierung &amp; Änderungshistorie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426"/>
      </w:tblGrid>
      <w:tr>
        <w:trPr>
          <w:tblHeader/>
        </w:trPr>
        <w:tc>
          <w:tcPr>
            <w:tcW w:type="dxa" w:w="12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Datum</w:t>
            </w:r>
          </w:p>
        </w:tc>
        <w:tc>
          <w:tcPr>
            <w:tcW w:type="dxa" w:w="24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Autor</w:t>
            </w:r>
          </w:p>
        </w:tc>
        <w:tc>
          <w:tcPr>
            <w:tcW w:type="dxa" w:w="34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Änderung</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1.0</w:t>
            </w:r>
          </w:p>
        </w:tc>
        <w:tc>
          <w:tcPr>
            <w:tcW w:type="dxa" w:w="20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TT.MM.JJJJ]</w:t>
            </w:r>
            <w:r>
              <w:rPr>
                <w:rFonts w:ascii="Arial" w:cs="Arial" w:eastAsia="Arial" w:hAnsi="Arial"/>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Stefan (TPB)</w:t>
            </w:r>
          </w:p>
        </w:tc>
        <w:tc>
          <w:tcPr>
            <w:tcW w:type="dxa" w:w="3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Erstversion — Entwurf</w:t>
            </w:r>
          </w:p>
        </w:tc>
      </w:tr>
      <w:tr>
        <w:tc>
          <w:tcPr>
            <w:tcW w:type="dxa" w:w="1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[PLACEHOLDER]</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[PLACEHOLDER]</w:t>
            </w:r>
          </w:p>
        </w:tc>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[PLACEHOLDER]</w:t>
            </w:r>
          </w:p>
        </w:tc>
        <w:tc>
          <w:tcPr>
            <w:tcW w:type="dxa" w:w="34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Beschreibung der Änderung]</w:t>
            </w:r>
            <w:r>
              <w:rPr>
                <w:rFonts w:ascii="Arial" w:cs="Arial" w:eastAsia="Arial" w:hAnsi="Arial"/>
                <w:color w:val="1A1A1A"/>
                <w:sz w:val="20"/>
                <w:szCs w:val="20"/>
              </w:rPr>
              <w:t xml:space="preserve"/>
            </w:r>
          </w:p>
        </w:tc>
      </w:tr>
    </w:tbl>
    <w:p>
      <w:pPr>
        <w:spacing w:after="0" w:before="100"/>
      </w:pPr>
    </w:p>
    <w:p>
      <w:pPr>
        <w:pStyle w:val="Heading2"/>
        <w:spacing w:after="120" w:before="240"/>
      </w:pPr>
      <w:r>
        <w:rPr>
          <w:rFonts w:ascii="Arial" w:cs="Arial" w:eastAsia="Arial" w:hAnsi="Arial"/>
          <w:b/>
          <w:bCs/>
          <w:color w:val="5C3EB5"/>
          <w:sz w:val="25"/>
          <w:szCs w:val="25"/>
        </w:rPr>
        <w:t xml:space="preserve">1.4 Referenzdokumente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Dokument</w:t>
            </w:r>
          </w:p>
        </w:tc>
        <w:tc>
          <w:tcPr>
            <w:tcW w:type="dxa" w:w="50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Quelle / Fundstelle</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DORA — Verordnung (EU) 2022/2554</w:t>
            </w:r>
          </w:p>
        </w:tc>
        <w:tc>
          <w:tcPr>
            <w:tcW w:type="dxa" w:w="50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EUR-Lex, gültig ab 17. Januar 2025</w:t>
            </w:r>
          </w:p>
        </w:tc>
      </w:tr>
      <w:tr>
        <w:tc>
          <w:tcPr>
            <w:tcW w:type="dxa" w:w="4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BaFin VAIT (Versicherungsaufsichtliche Anforderungen an die IT)</w:t>
            </w:r>
          </w:p>
        </w:tc>
        <w:tc>
          <w:tcPr>
            <w:tcW w:type="dxa" w:w="5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BaFin-Rundschreiben</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DSGVO — Verordnung (EU) 2016/679</w:t>
            </w:r>
          </w:p>
        </w:tc>
        <w:tc>
          <w:tcPr>
            <w:tcW w:type="dxa" w:w="50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EUR-Lex</w:t>
            </w:r>
          </w:p>
        </w:tc>
      </w:tr>
      <w:tr>
        <w:tc>
          <w:tcPr>
            <w:tcW w:type="dxa" w:w="4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Microsoft Fabric Dokumentation</w:t>
            </w:r>
          </w:p>
        </w:tc>
        <w:tc>
          <w:tcPr>
            <w:tcW w:type="dxa" w:w="5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learn.microsoft.com/fabric</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Unity Catalog Dokumentation</w:t>
            </w:r>
          </w:p>
        </w:tc>
        <w:tc>
          <w:tcPr>
            <w:tcW w:type="dxa" w:w="50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docs.databricks.com</w:t>
            </w:r>
          </w:p>
        </w:tc>
      </w:tr>
      <w:tr>
        <w:tc>
          <w:tcPr>
            <w:tcW w:type="dxa" w:w="40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Konzern-IT-Sicherheitsrichtlinie]</w:t>
            </w:r>
            <w:r>
              <w:rPr>
                <w:rFonts w:ascii="Arial" w:cs="Arial" w:eastAsia="Arial" w:hAnsi="Arial"/>
                <w:color w:val="1A1A1A"/>
                <w:sz w:val="20"/>
                <w:szCs w:val="20"/>
              </w:rPr>
              <w:t xml:space="preserve"/>
            </w:r>
          </w:p>
        </w:tc>
        <w:tc>
          <w:tcPr>
            <w:tcW w:type="dxa" w:w="50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Internes Dokument, Versionsnummer]</w:t>
            </w:r>
            <w:r>
              <w:rPr>
                <w:rFonts w:ascii="Arial" w:cs="Arial" w:eastAsia="Arial" w:hAnsi="Arial"/>
                <w:color w:val="1A1A1A"/>
                <w:sz w:val="20"/>
                <w:szCs w:val="20"/>
              </w:rPr>
              <w:t xml:space="preserve"/>
            </w:r>
          </w:p>
        </w:tc>
      </w:tr>
      <w:tr>
        <w:tc>
          <w:tcPr>
            <w:tcW w:type="dxa" w:w="40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ICT-Risikoregister des Unternehmens]</w:t>
            </w:r>
            <w:r>
              <w:rPr>
                <w:rFonts w:ascii="Arial" w:cs="Arial" w:eastAsia="Arial" w:hAnsi="Arial"/>
                <w:color w:val="1A1A1A"/>
                <w:sz w:val="20"/>
                <w:szCs w:val="20"/>
              </w:rPr>
              <w:t xml:space="preserve"/>
            </w:r>
          </w:p>
        </w:tc>
        <w:tc>
          <w:tcPr>
            <w:tcW w:type="dxa" w:w="50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Internes Dokument]</w:t>
            </w:r>
            <w:r>
              <w:rPr>
                <w:rFonts w:ascii="Arial" w:cs="Arial" w:eastAsia="Arial" w:hAnsi="Arial"/>
                <w:color w:val="1A1A1A"/>
                <w:sz w:val="20"/>
                <w:szCs w:val="20"/>
              </w:rPr>
              <w:t xml:space="preserve"/>
            </w:r>
          </w:p>
        </w:tc>
      </w:tr>
    </w:tbl>
    <w:p>
      <w:r>
        <w:br/>
      </w:r>
    </w:p>
    <w:p>
      <w:pPr>
        <w:pStyle w:val="Heading1"/>
        <w:spacing w:after="160" w:before="360"/>
      </w:pPr>
      <w:r>
        <w:rPr>
          <w:rFonts w:ascii="Arial" w:cs="Arial" w:eastAsia="Arial" w:hAnsi="Arial"/>
          <w:b/>
          <w:bCs/>
          <w:color w:val="5C3EB5"/>
          <w:sz w:val="30"/>
          <w:szCs w:val="30"/>
        </w:rPr>
        <w:t xml:space="preserve">2. Systembeschreibung &amp; Zweck von dispDB</w:t>
      </w:r>
    </w:p>
    <w:p>
      <w:pPr>
        <w:pStyle w:val="Heading2"/>
        <w:spacing w:after="120" w:before="240"/>
      </w:pPr>
      <w:r>
        <w:rPr>
          <w:rFonts w:ascii="Arial" w:cs="Arial" w:eastAsia="Arial" w:hAnsi="Arial"/>
          <w:b/>
          <w:bCs/>
          <w:color w:val="5C3EB5"/>
          <w:sz w:val="25"/>
          <w:szCs w:val="25"/>
        </w:rPr>
        <w:t xml:space="preserve">2.1 Fachlicher Zweck</w:t>
      </w:r>
    </w:p>
    <w:p>
      <w:pPr>
        <w:spacing w:after="80" w:before="60"/>
      </w:pPr>
      <w:r>
        <w:rPr>
          <w:rFonts w:ascii="Arial" w:cs="Arial" w:eastAsia="Arial" w:hAnsi="Arial"/>
          <w:color w:val="1A1A1A"/>
          <w:sz w:val="22"/>
          <w:szCs w:val="22"/>
        </w:rPr>
        <w:t xml:space="preserve">dispDB (Dispositive Datenbank) ist die analytische Datenbasis des Unternehmens. Sie integriert Daten aus den produktiven Kernsystemen, bereitet sie auf und stellt sie als konsistente, geprüfte Grundlage für das Management-Reporting bereit.</w:t>
      </w:r>
    </w:p>
    <w:p>
      <w:pPr>
        <w:spacing w:after="80" w:before="60"/>
      </w:pPr>
      <w:r>
        <w:rPr>
          <w:rFonts w:ascii="Arial" w:cs="Arial" w:eastAsia="Arial" w:hAnsi="Arial"/>
          <w:color w:val="1A1A1A"/>
          <w:sz w:val="22"/>
          <w:szCs w:val="22"/>
        </w:rPr>
        <w:t xml:space="preserve">Der erste produktive Anwendungsfall ist der Vertriebs-Basisreport für den Vorstand, der folgende Kerninformationen liefert:</w:t>
      </w:r>
    </w:p>
    <w:p>
      <w:pPr>
        <w:pStyle w:val="ListParagraph"/>
        <w:numPr>
          <w:ilvl w:val="0"/>
          <w:numId w:val="2"/>
        </w:numPr>
        <w:spacing w:after="40" w:before="40"/>
      </w:pPr>
      <w:r>
        <w:rPr>
          <w:rFonts w:ascii="Arial" w:cs="Arial" w:eastAsia="Arial" w:hAnsi="Arial"/>
          <w:color w:val="1A1A1A"/>
          <w:sz w:val="22"/>
          <w:szCs w:val="22"/>
        </w:rPr>
        <w:t xml:space="preserve">Nicht-Leben (Quelle: AS/400): Bestand Stück, Laufender Jahresbeitrag, Neuzugang Stück, Neuzugang Beitrag Brutto, Bestandsentwicklungsquote</w:t>
      </w:r>
    </w:p>
    <w:p>
      <w:pPr>
        <w:pStyle w:val="ListParagraph"/>
        <w:numPr>
          <w:ilvl w:val="0"/>
          <w:numId w:val="2"/>
        </w:numPr>
        <w:spacing w:after="40" w:before="40"/>
      </w:pPr>
      <w:r>
        <w:rPr>
          <w:rFonts w:ascii="Arial" w:cs="Arial" w:eastAsia="Arial" w:hAnsi="Arial"/>
          <w:color w:val="1A1A1A"/>
          <w:sz w:val="22"/>
          <w:szCs w:val="22"/>
        </w:rPr>
        <w:t xml:space="preserve">Leben (Quelle: Oracle 11g / msg-Life): Bestand Stück, Laufender Jahresbeitrag, Neugeschäft Stück</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5E6" w:val="clear"/>
            <w:tcMar>
              <w:top w:type="dxa" w:w="120"/>
              <w:left w:type="dxa" w:w="180"/>
              <w:bottom w:type="dxa" w:w="120"/>
              <w:right w:type="dxa" w:w="180"/>
            </w:tcMar>
          </w:tcPr>
          <w:p>
            <w:r>
              <w:rPr>
                <w:rFonts w:ascii="Arial" w:cs="Arial" w:eastAsia="Arial" w:hAnsi="Arial"/>
                <w:color w:val="1A1A1A"/>
                <w:sz w:val="20"/>
                <w:szCs w:val="20"/>
              </w:rPr>
              <w:t xml:space="preserve">Wichtiger Hinweis: dispDB ist eine analytische Plattform — keine transaktionale. Es werden keine originären Geschäftsprozesse (Vertragsanlage, Schadenbearbeitung) in dispDB ausgeführt. dispDB liest aus den Quellsystemen und stellt aufbereitete Daten für Reporting und Analyse bereit.</w:t>
            </w:r>
          </w:p>
        </w:tc>
      </w:tr>
    </w:tbl>
    <w:p>
      <w:pPr>
        <w:spacing w:after="0" w:before="100"/>
      </w:pPr>
    </w:p>
    <w:p>
      <w:pPr>
        <w:pStyle w:val="Heading2"/>
        <w:spacing w:after="120" w:before="240"/>
      </w:pPr>
      <w:r>
        <w:rPr>
          <w:rFonts w:ascii="Arial" w:cs="Arial" w:eastAsia="Arial" w:hAnsi="Arial"/>
          <w:b/>
          <w:bCs/>
          <w:color w:val="5C3EB5"/>
          <w:sz w:val="25"/>
          <w:szCs w:val="25"/>
        </w:rPr>
        <w:t xml:space="preserve">2.2 Nutzer und Stakeholder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Nutzergruppe</w:t>
            </w:r>
          </w:p>
        </w:tc>
        <w:tc>
          <w:tcPr>
            <w:tcW w:type="dxa" w:w="22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Zugriff</w:t>
            </w:r>
          </w:p>
        </w:tc>
        <w:tc>
          <w:tcPr>
            <w:tcW w:type="dxa" w:w="40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Zweck</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Vorstand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Power BI Report (Viewer)</w:t>
            </w:r>
          </w:p>
        </w:tc>
        <w:tc>
          <w:tcPr>
            <w:tcW w:type="dxa" w:w="40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Strategisches Management-Reporting</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Vertriebsleitung</w:t>
            </w:r>
          </w:p>
        </w:tc>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Power BI Report (Viewer)</w:t>
            </w:r>
          </w:p>
        </w:tc>
        <w:tc>
          <w:tcPr>
            <w:tcW w:type="dxa" w:w="4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Vertriebssteuerung und KPI-Überwachung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 Analyst / Data Scientist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Fabric Workspace (Contributor)</w:t>
            </w:r>
          </w:p>
        </w:tc>
        <w:tc>
          <w:tcPr>
            <w:tcW w:type="dxa" w:w="40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Analyse, Modellentwicklung</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Stefan — TPB</w:t>
            </w:r>
          </w:p>
        </w:tc>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Fabric Workspace (Admin) + Databricks</w:t>
            </w:r>
          </w:p>
        </w:tc>
        <w:tc>
          <w:tcPr>
            <w:tcW w:type="dxa" w:w="4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Plattformbetrieb, Entwicklung, Monitoring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IT-Infrastruktur-Kollege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Fabric Workspace (Member)</w:t>
            </w:r>
          </w:p>
        </w:tc>
        <w:tc>
          <w:tcPr>
            <w:tcW w:type="dxa" w:w="40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Infrastruktur-Support</w:t>
            </w:r>
          </w:p>
        </w:tc>
      </w:tr>
      <w:tr>
        <w:tc>
          <w:tcPr>
            <w:tcW w:type="dxa" w:w="28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Compliance / ISB]</w:t>
            </w:r>
            <w:r>
              <w:rPr>
                <w:rFonts w:ascii="Arial" w:cs="Arial" w:eastAsia="Arial" w:hAnsi="Arial"/>
                <w:color w:val="1A1A1A"/>
                <w:sz w:val="20"/>
                <w:szCs w:val="20"/>
              </w:rPr>
              <w:t xml:space="preserve"/>
            </w:r>
          </w:p>
        </w:tc>
        <w:tc>
          <w:tcPr>
            <w:tcW w:type="dxa" w:w="22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Lesend / Audit-Zugriff]</w:t>
            </w:r>
            <w:r>
              <w:rPr>
                <w:rFonts w:ascii="Arial" w:cs="Arial" w:eastAsia="Arial" w:hAnsi="Arial"/>
                <w:color w:val="1A1A1A"/>
                <w:sz w:val="20"/>
                <w:szCs w:val="20"/>
              </w:rPr>
              <w:t xml:space="preserve"/>
            </w:r>
          </w:p>
        </w:tc>
        <w:tc>
          <w:tcPr>
            <w:tcW w:type="dxa" w:w="4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Prüfung, Audit</w:t>
            </w:r>
          </w:p>
        </w:tc>
      </w:tr>
    </w:tbl>
    <w:p>
      <w:pPr>
        <w:spacing w:after="0" w:before="100"/>
      </w:pPr>
    </w:p>
    <w:p>
      <w:pPr>
        <w:pStyle w:val="Heading2"/>
        <w:spacing w:after="120" w:before="240"/>
      </w:pPr>
      <w:r>
        <w:rPr>
          <w:rFonts w:ascii="Arial" w:cs="Arial" w:eastAsia="Arial" w:hAnsi="Arial"/>
          <w:b/>
          <w:bCs/>
          <w:color w:val="5C3EB5"/>
          <w:sz w:val="25"/>
          <w:szCs w:val="25"/>
        </w:rPr>
        <w:t xml:space="preserve">2.3 Einbettung in die IT-Landschaft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System</w:t>
            </w:r>
          </w:p>
        </w:tc>
        <w:tc>
          <w:tcPr>
            <w:tcW w:type="dxa" w:w="35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Rolle</w:t>
            </w:r>
          </w:p>
        </w:tc>
        <w:tc>
          <w:tcPr>
            <w:tcW w:type="dxa" w:w="25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Betreiber</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IBM AS/400 / Power i</w:t>
            </w:r>
          </w:p>
        </w:tc>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Produktiv-Quellsystem (Nicht-Leben)</w:t>
            </w:r>
          </w:p>
        </w:tc>
        <w:tc>
          <w:tcPr>
            <w:tcW w:type="dxa" w:w="25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intern / Mutterkonzern]</w:t>
            </w:r>
            <w:r>
              <w:rPr>
                <w:rFonts w:ascii="Arial" w:cs="Arial" w:eastAsia="Arial" w:hAnsi="Arial"/>
                <w:color w:val="1A1A1A"/>
                <w:sz w:val="20"/>
                <w:szCs w:val="20"/>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Oracle 11g R2 (msg-Life)</w:t>
            </w:r>
          </w:p>
        </w:tc>
        <w:tc>
          <w:tcPr>
            <w:tcW w:type="dxa" w:w="3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Produktiv-Quellsystem (Leben)</w:t>
            </w:r>
          </w:p>
        </w:tc>
        <w:tc>
          <w:tcPr>
            <w:tcW w:type="dxa" w:w="25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intern / msg-Life]</w:t>
            </w:r>
            <w:r>
              <w:rPr>
                <w:rFonts w:ascii="Arial" w:cs="Arial" w:eastAsia="Arial" w:hAnsi="Arial"/>
                <w:color w:val="1A1A1A"/>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MS Fabric (Azure-Tenant)</w:t>
            </w:r>
          </w:p>
        </w:tc>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Ingest, Orchestrierung, Reporting</w:t>
            </w:r>
          </w:p>
        </w:tc>
        <w:tc>
          <w:tcPr>
            <w:tcW w:type="dxa" w:w="25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Mutterkonzern (bereitgestellt via Terraform)</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on Azure</w:t>
            </w:r>
          </w:p>
        </w:tc>
        <w:tc>
          <w:tcPr>
            <w:tcW w:type="dxa" w:w="3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Medallion-Verarbeitung (Bronze/Silver/Gold)</w:t>
            </w:r>
          </w:p>
        </w:tc>
        <w:tc>
          <w:tcPr>
            <w:tcW w:type="dxa" w:w="25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Mutterkonzern (bereitgestellt)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Data Lake Storage Gen2</w:t>
            </w:r>
          </w:p>
        </w:tc>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Zentrale Datenspeicherung</w:t>
            </w:r>
          </w:p>
        </w:tc>
        <w:tc>
          <w:tcPr>
            <w:tcW w:type="dxa" w:w="25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Mutterkonzern (Azure-Tenant)</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Power BI</w:t>
            </w:r>
          </w:p>
        </w:tc>
        <w:tc>
          <w:tcPr>
            <w:tcW w:type="dxa" w:w="3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Visualisierung und Reporting</w:t>
            </w:r>
          </w:p>
        </w:tc>
        <w:tc>
          <w:tcPr>
            <w:tcW w:type="dxa" w:w="25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Microsoft (SaaS in Fabric)</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Microsoft Purview</w:t>
            </w:r>
          </w:p>
        </w:tc>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Governance, Lineage, Sensitivity Labels</w:t>
            </w:r>
          </w:p>
        </w:tc>
        <w:tc>
          <w:tcPr>
            <w:tcW w:type="dxa" w:w="25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Microsoft (integriert in Fabric)</w:t>
            </w:r>
          </w:p>
        </w:tc>
      </w:tr>
    </w:tbl>
    <w:p>
      <w:r>
        <w:br/>
      </w:r>
    </w:p>
    <w:p>
      <w:pPr>
        <w:pStyle w:val="Heading1"/>
        <w:spacing w:after="160" w:before="360"/>
      </w:pPr>
      <w:r>
        <w:rPr>
          <w:rFonts w:ascii="Arial" w:cs="Arial" w:eastAsia="Arial" w:hAnsi="Arial"/>
          <w:b/>
          <w:bCs/>
          <w:color w:val="5C3EB5"/>
          <w:sz w:val="30"/>
          <w:szCs w:val="30"/>
        </w:rPr>
        <w:t xml:space="preserve">3. Datenklassen &amp; Schutzbedarf</w:t>
      </w:r>
    </w:p>
    <w:p>
      <w:pPr>
        <w:pStyle w:val="Heading2"/>
        <w:spacing w:after="120" w:before="240"/>
      </w:pPr>
      <w:r>
        <w:rPr>
          <w:rFonts w:ascii="Arial" w:cs="Arial" w:eastAsia="Arial" w:hAnsi="Arial"/>
          <w:b/>
          <w:bCs/>
          <w:color w:val="5C3EB5"/>
          <w:sz w:val="25"/>
          <w:szCs w:val="25"/>
        </w:rPr>
        <w:t xml:space="preserve">3.1 Verarbeitete Datenklassen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800"/>
        <w:gridCol w:w="1926"/>
      </w:tblGrid>
      <w:tr>
        <w:trPr>
          <w:tblHeader/>
        </w:trPr>
        <w:tc>
          <w:tcPr>
            <w:tcW w:type="dxa" w:w="25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Datenklasse</w:t>
            </w:r>
          </w:p>
        </w:tc>
        <w:tc>
          <w:tcPr>
            <w:tcW w:type="dxa" w:w="28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Beispiele</w:t>
            </w:r>
          </w:p>
        </w:tc>
        <w:tc>
          <w:tcPr>
            <w:tcW w:type="dxa" w:w="18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Klassifizierung</w:t>
            </w:r>
          </w:p>
        </w:tc>
        <w:tc>
          <w:tcPr>
            <w:tcW w:type="dxa" w:w="19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Schicht(en)</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Versicherungsvertragsdaten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Vertragsnummer, Versicherungsnehmer, Laufende Prämien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Vertraulich</w:t>
            </w:r>
          </w:p>
        </w:tc>
        <w:tc>
          <w:tcPr>
            <w:tcW w:type="dxa" w:w="19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Bronze, Silver</w:t>
            </w:r>
          </w:p>
        </w:tc>
      </w:tr>
      <w:tr>
        <w:tc>
          <w:tcPr>
            <w:tcW w:type="dxa" w:w="2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Kundenstammdaten</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Name, Adresse, Geburtsdatum (personenbezogen)</w:t>
            </w:r>
          </w:p>
        </w:tc>
        <w:tc>
          <w:tcPr>
            <w:tcW w:type="dxa" w:w="1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Vertraulich (DSGVO)</w:t>
            </w:r>
          </w:p>
        </w:tc>
        <w:tc>
          <w:tcPr>
            <w:tcW w:type="dxa" w:w="19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Bronze, Silver</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Schadensdaten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Schadennummer, -höhe, -art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Vertraulich</w:t>
            </w:r>
          </w:p>
        </w:tc>
        <w:tc>
          <w:tcPr>
            <w:tcW w:type="dxa" w:w="19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Bronze, Silver</w:t>
            </w:r>
          </w:p>
        </w:tc>
      </w:tr>
      <w:tr>
        <w:tc>
          <w:tcPr>
            <w:tcW w:type="dxa" w:w="2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Aggregierte KPIs</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Bestand Stück, Neuzugang Beitrag (keine Einzelpersonen)</w:t>
            </w:r>
          </w:p>
        </w:tc>
        <w:tc>
          <w:tcPr>
            <w:tcW w:type="dxa" w:w="1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Intern</w:t>
            </w:r>
          </w:p>
        </w:tc>
        <w:tc>
          <w:tcPr>
            <w:tcW w:type="dxa" w:w="19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Gold, Reporting</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Technische Metadaten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Pipeline-Logs, Laufzeiten, Fehlermeldungen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Intern</w:t>
            </w:r>
          </w:p>
        </w:tc>
        <w:tc>
          <w:tcPr>
            <w:tcW w:type="dxa" w:w="19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Monitor Hub, Logs</w:t>
            </w:r>
          </w:p>
        </w:tc>
      </w:tr>
      <w:tr>
        <w:tc>
          <w:tcPr>
            <w:tcW w:type="dxa" w:w="2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Konfigurationsdaten</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Verbindungsparameter, Service-Namen, Secrets in Key Vault</w:t>
            </w:r>
          </w:p>
        </w:tc>
        <w:tc>
          <w:tcPr>
            <w:tcW w:type="dxa" w:w="1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Vertraulich</w:t>
            </w:r>
          </w:p>
        </w:tc>
        <w:tc>
          <w:tcPr>
            <w:tcW w:type="dxa" w:w="19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Infrastruktur</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0EC" w:val="clear"/>
            <w:tcMar>
              <w:top w:type="dxa" w:w="120"/>
              <w:left w:type="dxa" w:w="180"/>
              <w:bottom w:type="dxa" w:w="120"/>
              <w:right w:type="dxa" w:w="180"/>
            </w:tcMar>
          </w:tcPr>
          <w:p>
            <w:r>
              <w:rPr>
                <w:rFonts w:ascii="Arial" w:cs="Arial" w:eastAsia="Arial" w:hAnsi="Arial"/>
                <w:color w:val="1A1A1A"/>
                <w:sz w:val="20"/>
                <w:szCs w:val="20"/>
              </w:rPr>
              <w:t xml:space="preserve">DSGVO-Relevanz: In Bronze und Silver werden personenbezogene Daten (Kundenstammdaten, Vertragsdaten) verarbeitet. Im Gold Layer werden ausschließlich aggregierte, nicht-personenbezogene KPIs gehalten. Der Zugriff auf Bronze und Silver ist auf den TPB und den Databricks Service Principal beschränkt.</w:t>
            </w:r>
          </w:p>
        </w:tc>
      </w:tr>
    </w:tbl>
    <w:p>
      <w:pPr>
        <w:spacing w:after="0" w:before="100"/>
      </w:pPr>
    </w:p>
    <w:p>
      <w:pPr>
        <w:pStyle w:val="Heading2"/>
        <w:spacing w:after="120" w:before="240"/>
      </w:pPr>
      <w:r>
        <w:rPr>
          <w:rFonts w:ascii="Arial" w:cs="Arial" w:eastAsia="Arial" w:hAnsi="Arial"/>
          <w:b/>
          <w:bCs/>
          <w:color w:val="5C3EB5"/>
          <w:sz w:val="25"/>
          <w:szCs w:val="25"/>
        </w:rPr>
        <w:t xml:space="preserve">3.2 Schutzbedarf je Datenklasse</w:t>
      </w:r>
    </w:p>
    <w:p>
      <w:pPr>
        <w:spacing w:after="80" w:before="60"/>
      </w:pPr>
      <w:r>
        <w:rPr>
          <w:rFonts w:ascii="Arial" w:cs="Arial" w:eastAsia="Arial" w:hAnsi="Arial"/>
          <w:color w:val="1A1A1A"/>
          <w:sz w:val="22"/>
          <w:szCs w:val="22"/>
        </w:rPr>
        <w:t xml:space="preserve">Schutzziele: V = Vertraulichkeit, I = Integrität, V = Verfügbarkeit (VIV-Schema nach BSI Grundschutz)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600"/>
        <w:gridCol w:w="2226"/>
      </w:tblGrid>
      <w:tr>
        <w:trPr>
          <w:tblHeader/>
        </w:trPr>
        <w:tc>
          <w:tcPr>
            <w:tcW w:type="dxa" w:w="22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Datenklasse</w:t>
            </w:r>
          </w:p>
        </w:tc>
        <w:tc>
          <w:tcPr>
            <w:tcW w:type="dxa" w:w="16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Vertraulichkeit</w:t>
            </w:r>
          </w:p>
        </w:tc>
        <w:tc>
          <w:tcPr>
            <w:tcW w:type="dxa" w:w="14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Integrität</w:t>
            </w:r>
          </w:p>
        </w:tc>
        <w:tc>
          <w:tcPr>
            <w:tcW w:type="dxa" w:w="16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Verfügbarkeit</w:t>
            </w:r>
          </w:p>
        </w:tc>
        <w:tc>
          <w:tcPr>
            <w:tcW w:type="dxa" w:w="22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Begründung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Versicherungsvertragsdaten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MITTEL</w:t>
            </w:r>
          </w:p>
        </w:tc>
        <w:tc>
          <w:tcPr>
            <w:tcW w:type="dxa" w:w="22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Personenbezug, Vertragsrelevanz</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Kundenstammdaten</w:t>
            </w:r>
          </w:p>
        </w:tc>
        <w:tc>
          <w:tcPr>
            <w:tcW w:type="dxa" w:w="1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1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1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MITTEL</w:t>
            </w:r>
          </w:p>
        </w:tc>
        <w:tc>
          <w:tcPr>
            <w:tcW w:type="dxa" w:w="22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DSGVO Art. 9 — besondere Kategorien möglich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Schadensdaten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MITTEL</w:t>
            </w:r>
          </w:p>
        </w:tc>
        <w:tc>
          <w:tcPr>
            <w:tcW w:type="dxa" w:w="22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Personenbezug, versicherungsmathematische Relevanz</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Aggregierte KPIs</w:t>
            </w:r>
          </w:p>
        </w:tc>
        <w:tc>
          <w:tcPr>
            <w:tcW w:type="dxa" w:w="1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MITTEL</w:t>
            </w:r>
          </w:p>
        </w:tc>
        <w:tc>
          <w:tcPr>
            <w:tcW w:type="dxa" w:w="1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1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22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Vorstandsrelevanz — Integrität kritisch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Technische Metadaten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MITTEL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MITTEL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MITTEL</w:t>
            </w:r>
          </w:p>
        </w:tc>
        <w:tc>
          <w:tcPr>
            <w:tcW w:type="dxa" w:w="22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DORA-Audit-Trail — nicht löschbar</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Konfigurationsdaten / Secrets</w:t>
            </w:r>
          </w:p>
        </w:tc>
        <w:tc>
          <w:tcPr>
            <w:tcW w:type="dxa" w:w="1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1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1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22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Kompromittierung = vollständiger Plattformzugriff</w:t>
            </w:r>
          </w:p>
        </w:tc>
      </w:tr>
    </w:tbl>
    <w:p>
      <w:r>
        <w:br/>
      </w:r>
    </w:p>
    <w:p>
      <w:pPr>
        <w:pStyle w:val="Heading1"/>
        <w:spacing w:after="160" w:before="360"/>
      </w:pPr>
      <w:r>
        <w:rPr>
          <w:rFonts w:ascii="Arial" w:cs="Arial" w:eastAsia="Arial" w:hAnsi="Arial"/>
          <w:b/>
          <w:bCs/>
          <w:color w:val="5C3EB5"/>
          <w:sz w:val="30"/>
          <w:szCs w:val="30"/>
        </w:rPr>
        <w:t xml:space="preserve">4. Systemarchitektur &amp; Datenfluss</w:t>
      </w:r>
    </w:p>
    <w:p>
      <w:pPr>
        <w:pStyle w:val="Heading2"/>
        <w:spacing w:after="120" w:before="240"/>
      </w:pPr>
      <w:r>
        <w:rPr>
          <w:rFonts w:ascii="Arial" w:cs="Arial" w:eastAsia="Arial" w:hAnsi="Arial"/>
          <w:b/>
          <w:bCs/>
          <w:color w:val="5C3EB5"/>
          <w:sz w:val="25"/>
          <w:szCs w:val="25"/>
        </w:rPr>
        <w:t xml:space="preserve">4.1 Architekturübersicht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7F2" w:val="clear"/>
            <w:tcMar>
              <w:top w:type="dxa" w:w="120"/>
              <w:left w:type="dxa" w:w="180"/>
              <w:bottom w:type="dxa" w:w="120"/>
              <w:right w:type="dxa" w:w="180"/>
            </w:tcMar>
          </w:tcPr>
          <w:p>
            <w:r>
              <w:rPr>
                <w:rFonts w:ascii="Arial" w:cs="Arial" w:eastAsia="Arial" w:hAnsi="Arial"/>
                <w:i/>
                <w:iCs/>
                <w:color w:val="0A6E51"/>
                <w:sz w:val="20"/>
                <w:szCs w:val="20"/>
              </w:rPr>
              <w:t xml:space="preserve">Diagramm-Platzhalter: An dieser Stelle ist ein Architekturdiagramm einzufügen (z.B. aus draw.io, Visio oder PowerPoint), das den vollständigen Datenfluss von den Quellsystemen bis zum Power BI Report darstellt. Das Diagramm sollte alle Komponenten aus Tabelle 4.2 und alle Verbindungen aus Tabelle 4.3 visualisieren.</w:t>
            </w:r>
          </w:p>
        </w:tc>
      </w:tr>
    </w:tbl>
    <w:p>
      <w:pPr>
        <w:spacing w:after="0" w:before="100"/>
      </w:pPr>
    </w:p>
    <w:p>
      <w:pPr>
        <w:pStyle w:val="Heading2"/>
        <w:spacing w:after="120" w:before="240"/>
      </w:pPr>
      <w:r>
        <w:rPr>
          <w:rFonts w:ascii="Arial" w:cs="Arial" w:eastAsia="Arial" w:hAnsi="Arial"/>
          <w:b/>
          <w:bCs/>
          <w:color w:val="5C3EB5"/>
          <w:sz w:val="25"/>
          <w:szCs w:val="25"/>
        </w:rPr>
        <w:t xml:space="preserve">4.2 Komponentenübersicht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1826"/>
      </w:tblGrid>
      <w:tr>
        <w:trPr>
          <w:tblHeader/>
        </w:trPr>
        <w:tc>
          <w:tcPr>
            <w:tcW w:type="dxa" w:w="22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Komponente</w:t>
            </w:r>
          </w:p>
        </w:tc>
        <w:tc>
          <w:tcPr>
            <w:tcW w:type="dxa" w:w="22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Technologie</w:t>
            </w:r>
          </w:p>
        </w:tc>
        <w:tc>
          <w:tcPr>
            <w:tcW w:type="dxa" w:w="28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Aufgabe</w:t>
            </w:r>
          </w:p>
        </w:tc>
        <w:tc>
          <w:tcPr>
            <w:tcW w:type="dxa" w:w="18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Hosting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**Quellsystem Nicht-Leben**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IBM AS/400 / Power i</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Produktives Kernsystem (Verträge, Beiträge)</w:t>
            </w:r>
          </w:p>
        </w:tc>
        <w:tc>
          <w:tcPr>
            <w:tcW w:type="dxa" w:w="18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On-Premise / Mutterkonzern RZ]</w:t>
            </w:r>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**Quellsystem Leben**</w:t>
            </w:r>
          </w:p>
        </w:tc>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Oracle 11g R2 (msg-Life)</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Produktives Kernsystem (Lebensversicherung)</w:t>
            </w:r>
          </w:p>
        </w:tc>
        <w:tc>
          <w:tcPr>
            <w:tcW w:type="dxa" w:w="18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On-Premise / Mutterkonzern RZ]</w:t>
            </w:r>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**SHIR**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Self-hosted Integration Runtime auf Windows-VM</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Brücke Legacy → Fabric (ODBC, JDBC)</w:t>
            </w:r>
          </w:p>
        </w:tc>
        <w:tc>
          <w:tcPr>
            <w:tcW w:type="dxa" w:w="18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On-Premise VM / Azure VM — Entscheidung ausstehend]</w:t>
            </w:r>
            <w:r>
              <w:rPr>
                <w:rFonts w:ascii="Arial" w:cs="Arial" w:eastAsia="Arial" w:hAnsi="Arial"/>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 Factory**</w:t>
            </w:r>
          </w:p>
        </w:tc>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MS Fabric — Data Factory</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Orchestrierung, Copy Activities, Linked Services</w:t>
            </w:r>
          </w:p>
        </w:tc>
        <w:tc>
          <w:tcPr>
            <w:tcW w:type="dxa" w:w="18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(Fabric-Tenant, Mutterkonzern)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**ADLS Gen2**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Data Lake Storage Gen2</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Zentraler Datenspeicher (Landing, Bronze, Silver, Gold)</w:t>
            </w:r>
          </w:p>
        </w:tc>
        <w:tc>
          <w:tcPr>
            <w:tcW w:type="dxa" w:w="18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(Tenant Mutterkonzern)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**Bronze Layer**</w:t>
            </w:r>
          </w:p>
        </w:tc>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 Delta Lake</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Rohdaten-Landung, Schema Evolution, Quarantäne</w:t>
            </w:r>
          </w:p>
        </w:tc>
        <w:tc>
          <w:tcPr>
            <w:tcW w:type="dxa" w:w="18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Databricks (Mutterkonzern)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**Silver Layer**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 Delta Lake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Bereinigung, Harmonisierung, Validierung</w:t>
            </w:r>
          </w:p>
        </w:tc>
        <w:tc>
          <w:tcPr>
            <w:tcW w:type="dxa" w:w="18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Databricks (Mutterkonzern)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**Gold Layer**</w:t>
            </w:r>
          </w:p>
        </w:tc>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 Delta Lake (External Tables)</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Aggregation, fachliche KPI-Modellierung</w:t>
            </w:r>
          </w:p>
        </w:tc>
        <w:tc>
          <w:tcPr>
            <w:tcW w:type="dxa" w:w="18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Databricks / ADLS (Mutterkonzern)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**Unity Catalog**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Unity Catalog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Governance: Catalog/Schema/Table + ACLs + Audit Logs</w:t>
            </w:r>
          </w:p>
        </w:tc>
        <w:tc>
          <w:tcPr>
            <w:tcW w:type="dxa" w:w="18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Databricks (Mutterkonzern)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**Fabric Lakehouse**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MS Fabric Lakehouse + Shortcuts</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Shortcut auf Gold-Tabellen in ADLS für Power BI</w:t>
            </w:r>
          </w:p>
        </w:tc>
        <w:tc>
          <w:tcPr>
            <w:tcW w:type="dxa" w:w="18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(Fabric-Tenant)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**Power BI**</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MS Fabric Power BI + DirectLake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Semantic Model, Vorstandsreport, RLS</w:t>
            </w:r>
          </w:p>
        </w:tc>
        <w:tc>
          <w:tcPr>
            <w:tcW w:type="dxa" w:w="18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(Fabric-Tenant)</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**Microsoft Purview**</w:t>
            </w:r>
          </w:p>
        </w:tc>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MS Purview (in Fabric integriert)</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 Lineage, Catalog, Sensitivity Labels</w:t>
            </w:r>
          </w:p>
        </w:tc>
        <w:tc>
          <w:tcPr>
            <w:tcW w:type="dxa" w:w="18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(Fabric-Tenant)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Monitor / Log Analytics**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Monitor + Log Analytics Workspace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Zentrales Logging, DORA-Audit-Trail</w:t>
            </w:r>
          </w:p>
        </w:tc>
        <w:tc>
          <w:tcPr>
            <w:tcW w:type="dxa" w:w="18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(Mutterkonzern)</w:t>
            </w:r>
          </w:p>
        </w:tc>
      </w:tr>
      <w:tr>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Key Vault**</w:t>
            </w:r>
          </w:p>
        </w:tc>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Key Vault</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Secrets Management (Verbindungsparameter, Passwörter)</w:t>
            </w:r>
          </w:p>
        </w:tc>
        <w:tc>
          <w:tcPr>
            <w:tcW w:type="dxa" w:w="18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(Mutterkonzern)</w:t>
            </w:r>
          </w:p>
        </w:tc>
      </w:tr>
    </w:tbl>
    <w:p>
      <w:pPr>
        <w:spacing w:after="0" w:before="100"/>
      </w:pPr>
    </w:p>
    <w:p>
      <w:pPr>
        <w:pStyle w:val="Heading2"/>
        <w:spacing w:after="120" w:before="240"/>
      </w:pPr>
      <w:r>
        <w:rPr>
          <w:rFonts w:ascii="Arial" w:cs="Arial" w:eastAsia="Arial" w:hAnsi="Arial"/>
          <w:b/>
          <w:bCs/>
          <w:color w:val="5C3EB5"/>
          <w:sz w:val="25"/>
          <w:szCs w:val="25"/>
        </w:rPr>
        <w:t xml:space="preserve">4.3 Datenfluss — Schritt für Schritt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2000"/>
        <w:gridCol w:w="2426"/>
      </w:tblGrid>
      <w:tr>
        <w:trPr>
          <w:tblHeader/>
        </w:trPr>
        <w:tc>
          <w:tcPr>
            <w:tcW w:type="dxa" w:w="6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Schritt</w:t>
            </w:r>
          </w:p>
        </w:tc>
        <w:tc>
          <w:tcPr>
            <w:tcW w:type="dxa" w:w="2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Von</w:t>
            </w:r>
          </w:p>
        </w:tc>
        <w:tc>
          <w:tcPr>
            <w:tcW w:type="dxa" w:w="2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Nach</w:t>
            </w:r>
          </w:p>
        </w:tc>
        <w:tc>
          <w:tcPr>
            <w:tcW w:type="dxa" w:w="2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Protokoll / Methode</w:t>
            </w:r>
          </w:p>
        </w:tc>
        <w:tc>
          <w:tcPr>
            <w:tcW w:type="dxa" w:w="24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Bemerkung</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AS/400 / Power i</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ADLS Landing Zone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ODBC via SHIR + Copy Activity</w:t>
            </w:r>
          </w:p>
        </w:tc>
        <w:tc>
          <w:tcPr>
            <w:tcW w:type="dxa" w:w="2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Vollextrakt oder inkrementell (Timestamp-Spalten zu bestätigen)</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Oracle 11g R2</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ADLS Landing Zone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oracledb Thick Mode (Instant Client 19) via SHIR</w:t>
            </w:r>
          </w:p>
        </w:tc>
        <w:tc>
          <w:tcPr>
            <w:tcW w:type="dxa" w:w="2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Service Name ORA-12514 noch zu validieren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ADLS Landing Zone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Bronze (Delta Lake)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Notebook / Job</w:t>
            </w:r>
          </w:p>
        </w:tc>
        <w:tc>
          <w:tcPr>
            <w:tcW w:type="dxa" w:w="2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APPEND-Muster; Schema Evolution aktiviert</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Bronze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Silver (Delta Lake)</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Notebook / Job</w:t>
            </w:r>
          </w:p>
        </w:tc>
        <w:tc>
          <w:tcPr>
            <w:tcW w:type="dxa" w:w="2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MERGE INTO für Duplikat-Behandlung; Validierungsregeln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Silver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Gold (Delta Lake External Tables)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Notebook / Job</w:t>
            </w:r>
          </w:p>
        </w:tc>
        <w:tc>
          <w:tcPr>
            <w:tcW w:type="dxa" w:w="2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OVERWRITE-Muster für Aggregations-KPIs</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Gold (ADLS)</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Fabric Lakehouse (Shortcut)</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OneLake Shortcut (kein Datenmove)</w:t>
            </w:r>
          </w:p>
        </w:tc>
        <w:tc>
          <w:tcPr>
            <w:tcW w:type="dxa" w:w="2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Kein Kopieren — Shortcut zeigt auf ADLS-Pfad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Fabric Lakehouse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Power BI Semantic Model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DirectLake</w:t>
            </w:r>
          </w:p>
        </w:tc>
        <w:tc>
          <w:tcPr>
            <w:tcW w:type="dxa" w:w="2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Kein Import-Refresh — liest Delta direkt</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Power BI Semantic Model</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Vorstandsreport</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Power BI Report (PBIX)</w:t>
            </w:r>
          </w:p>
        </w:tc>
        <w:tc>
          <w:tcPr>
            <w:tcW w:type="dxa" w:w="2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RLS auf Semantic Model — rollenbasierte Sicht</w:t>
            </w:r>
          </w:p>
        </w:tc>
      </w:tr>
    </w:tbl>
    <w:p>
      <w:r>
        <w:br/>
      </w:r>
    </w:p>
    <w:p>
      <w:pPr>
        <w:pStyle w:val="Heading1"/>
        <w:spacing w:after="160" w:before="360"/>
      </w:pPr>
      <w:r>
        <w:rPr>
          <w:rFonts w:ascii="Arial" w:cs="Arial" w:eastAsia="Arial" w:hAnsi="Arial"/>
          <w:b/>
          <w:bCs/>
          <w:color w:val="5C3EB5"/>
          <w:sz w:val="30"/>
          <w:szCs w:val="30"/>
        </w:rPr>
        <w:t xml:space="preserve">5. Schutzbedarfsanalyse</w:t>
      </w:r>
    </w:p>
    <w:p>
      <w:pPr>
        <w:spacing w:after="80" w:before="60"/>
      </w:pPr>
      <w:r>
        <w:rPr>
          <w:rFonts w:ascii="Arial" w:cs="Arial" w:eastAsia="Arial" w:hAnsi="Arial"/>
          <w:color w:val="1A1A1A"/>
          <w:sz w:val="22"/>
          <w:szCs w:val="22"/>
        </w:rPr>
        <w:t xml:space="preserve">Die folgende Analyse bewertet für jede kritische Komponente die Auswirkungen bei Ausfall, Kompromittierung oder Datenverlust. Dies ist die Grundlage für die Maßnahmen in Kapitel 6 und die RTO/RPO-Definitionen in Kapitel 7.</w:t>
      </w:r>
    </w:p>
    <w:p>
      <w:pPr>
        <w:spacing w:after="0" w:before="8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1226"/>
      </w:tblGrid>
      <w:tr>
        <w:trPr>
          <w:tblHeader/>
        </w:trPr>
        <w:tc>
          <w:tcPr>
            <w:tcW w:type="dxa" w:w="2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Komponente</w:t>
            </w:r>
          </w:p>
        </w:tc>
        <w:tc>
          <w:tcPr>
            <w:tcW w:type="dxa" w:w="2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Szenario</w:t>
            </w:r>
          </w:p>
        </w:tc>
        <w:tc>
          <w:tcPr>
            <w:tcW w:type="dxa" w:w="28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Auswirkung</w:t>
            </w:r>
          </w:p>
        </w:tc>
        <w:tc>
          <w:tcPr>
            <w:tcW w:type="dxa" w:w="12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Einstufung</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SHIR (VM)</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Ausfall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Keine Daten aus AS/400 und Oracle — Reporting veraltet</w:t>
            </w:r>
          </w:p>
        </w:tc>
        <w:tc>
          <w:tcPr>
            <w:tcW w:type="dxa" w:w="12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SHIR (VM)</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Kompromittierung</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Zugriff auf Legacy-Quellsysteme mit Produktivdaten</w:t>
            </w:r>
          </w:p>
        </w:tc>
        <w:tc>
          <w:tcPr>
            <w:tcW w:type="dxa" w:w="12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KRITISCH</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ADLS Gen2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Datenverlust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Vollständiger Verlust aller Bronze/Silver/Gold-Daten</w:t>
            </w:r>
          </w:p>
        </w:tc>
        <w:tc>
          <w:tcPr>
            <w:tcW w:type="dxa" w:w="12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KRITISCH</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ADLS Gen2</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Unberechtigter Zugriff</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Exposition vertraulicher Versicherungsdaten</w:t>
            </w:r>
          </w:p>
        </w:tc>
        <w:tc>
          <w:tcPr>
            <w:tcW w:type="dxa" w:w="12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KRITISCH</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Jobs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Ausfall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Keine Datenverarbeitung — Pipeline-Stopp</w:t>
            </w:r>
          </w:p>
        </w:tc>
        <w:tc>
          <w:tcPr>
            <w:tcW w:type="dxa" w:w="12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Jobs</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Fehlerhafte Verarbeitung</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Falsche KPIs im Vorstandsreport</w:t>
            </w:r>
          </w:p>
        </w:tc>
        <w:tc>
          <w:tcPr>
            <w:tcW w:type="dxa" w:w="12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KRITISCH (Integrität)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Power BI / Semantic Model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Ausfall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Kein Reporting — Vorstand ohne Datenbasis</w:t>
            </w:r>
          </w:p>
        </w:tc>
        <w:tc>
          <w:tcPr>
            <w:tcW w:type="dxa" w:w="12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MITTEL</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Key Vault</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Kompromittierung</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Alle Verbindungsgeheimnisse kompromittiert</w:t>
            </w:r>
          </w:p>
        </w:tc>
        <w:tc>
          <w:tcPr>
            <w:tcW w:type="dxa" w:w="12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KRITISCH</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Unity Catalog ACLs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Fehlkonfiguration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Unberechtigter Zugriff auf Bronze/Silver-Rohdaten</w:t>
            </w:r>
          </w:p>
        </w:tc>
        <w:tc>
          <w:tcPr>
            <w:tcW w:type="dxa" w:w="12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 Factory Pipelines</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Fehlerhafte Copy Activity</w:t>
            </w:r>
          </w:p>
        </w:tc>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Falsche oder doppelte Daten in Landing Zone</w:t>
            </w:r>
          </w:p>
        </w:tc>
        <w:tc>
          <w:tcPr>
            <w:tcW w:type="dxa" w:w="12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r>
    </w:tbl>
    <w:p>
      <w:r>
        <w:br/>
      </w:r>
    </w:p>
    <w:p>
      <w:pPr>
        <w:pStyle w:val="Heading1"/>
        <w:spacing w:after="160" w:before="360"/>
      </w:pPr>
      <w:r>
        <w:rPr>
          <w:rFonts w:ascii="Arial" w:cs="Arial" w:eastAsia="Arial" w:hAnsi="Arial"/>
          <w:b/>
          <w:bCs/>
          <w:color w:val="5C3EB5"/>
          <w:sz w:val="30"/>
          <w:szCs w:val="30"/>
        </w:rPr>
        <w:t xml:space="preserve">6. Technische Schutzmaßnahmen</w:t>
      </w:r>
    </w:p>
    <w:p>
      <w:pPr>
        <w:pStyle w:val="Heading2"/>
        <w:spacing w:after="120" w:before="240"/>
      </w:pPr>
      <w:r>
        <w:rPr>
          <w:rFonts w:ascii="Arial" w:cs="Arial" w:eastAsia="Arial" w:hAnsi="Arial"/>
          <w:b/>
          <w:bCs/>
          <w:color w:val="5C3EB5"/>
          <w:sz w:val="25"/>
          <w:szCs w:val="25"/>
        </w:rPr>
        <w:t xml:space="preserve">6.1 Verschlüsselung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26"/>
      </w:tblGrid>
      <w:tr>
        <w:trPr>
          <w:tblHeader/>
        </w:trPr>
        <w:tc>
          <w:tcPr>
            <w:tcW w:type="dxa" w:w="2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Ebene</w:t>
            </w:r>
          </w:p>
        </w:tc>
        <w:tc>
          <w:tcPr>
            <w:tcW w:type="dxa" w:w="3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Maßnahme</w:t>
            </w:r>
          </w:p>
        </w:tc>
        <w:tc>
          <w:tcPr>
            <w:tcW w:type="dxa" w:w="2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Standard</w:t>
            </w:r>
          </w:p>
        </w:tc>
        <w:tc>
          <w:tcPr>
            <w:tcW w:type="dxa" w:w="20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ADLS — Data at Rest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AES-256-Verschlüsselung aller gespeicherten Daten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Azure-managed Keys (Standard)</w:t>
            </w:r>
          </w:p>
        </w:tc>
        <w:tc>
          <w:tcPr>
            <w:tcW w:type="dxa" w:w="20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bestätigt / Customer-managed Key geplant]</w:t>
            </w:r>
            <w:r>
              <w:rPr>
                <w:rFonts w:ascii="Arial" w:cs="Arial" w:eastAsia="Arial" w:hAnsi="Arial"/>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Alle Verbindungen — Data in Transit</w:t>
            </w:r>
          </w:p>
        </w:tc>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TLS 1.2+ für alle Datenübertragungen</w:t>
            </w:r>
          </w:p>
        </w:tc>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TLS 1.2 Minimum</w:t>
            </w:r>
          </w:p>
        </w:tc>
        <w:tc>
          <w:tcPr>
            <w:tcW w:type="dxa" w:w="2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Konfiguriert (Azure Standard)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SHIR-Verbindung zu AS/400</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ODBC-Verbindung über TLS gesichert</w:t>
            </w:r>
          </w:p>
        </w:tc>
        <w:tc>
          <w:tcPr>
            <w:tcW w:type="dxa" w:w="20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TLS-Version bestätigen]</w:t>
            </w:r>
            <w:r>
              <w:rPr>
                <w:rFonts w:ascii="Arial" w:cs="Arial" w:eastAsia="Arial" w:hAnsi="Arial"/>
                <w:color w:val="1A1A1A"/>
                <w:sz w:val="20"/>
                <w:szCs w:val="20"/>
              </w:rPr>
              <w:t xml:space="preserve"/>
            </w:r>
          </w:p>
        </w:tc>
        <w:tc>
          <w:tcPr>
            <w:tcW w:type="dxa" w:w="20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zu validieren]</w:t>
            </w:r>
            <w:r>
              <w:rPr>
                <w:rFonts w:ascii="Arial" w:cs="Arial" w:eastAsia="Arial" w:hAnsi="Arial"/>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SHIR-Verbindung zu Oracle</w:t>
            </w:r>
          </w:p>
        </w:tc>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oracledb Thick Mode — Verbindungsverschlüsselung</w:t>
            </w:r>
          </w:p>
        </w:tc>
        <w:tc>
          <w:tcPr>
            <w:tcW w:type="dxa" w:w="20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Oracle Net Encryption]</w:t>
            </w:r>
            <w:r>
              <w:rPr>
                <w:rFonts w:ascii="Arial" w:cs="Arial" w:eastAsia="Arial" w:hAnsi="Arial"/>
                <w:color w:val="1A1A1A"/>
                <w:sz w:val="20"/>
                <w:szCs w:val="20"/>
              </w:rPr>
              <w:t xml:space="preserve"/>
            </w:r>
          </w:p>
        </w:tc>
        <w:tc>
          <w:tcPr>
            <w:tcW w:type="dxa" w:w="20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zu validieren]</w:t>
            </w:r>
            <w:r>
              <w:rPr>
                <w:rFonts w:ascii="Arial" w:cs="Arial" w:eastAsia="Arial" w:hAnsi="Arial"/>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Key Vault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Secrets, Keys und Zertifikate zentral verwaltet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FIPS 140-2 Level 2 (Standard)</w:t>
            </w:r>
          </w:p>
        </w:tc>
        <w:tc>
          <w:tcPr>
            <w:tcW w:type="dxa" w:w="20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Konfiguriert</w:t>
            </w:r>
          </w:p>
        </w:tc>
      </w:tr>
    </w:tbl>
    <w:p>
      <w:pPr>
        <w:spacing w:after="0" w:before="100"/>
      </w:pPr>
    </w:p>
    <w:p>
      <w:pPr>
        <w:pStyle w:val="Heading2"/>
        <w:spacing w:after="120" w:before="240"/>
      </w:pPr>
      <w:r>
        <w:rPr>
          <w:rFonts w:ascii="Arial" w:cs="Arial" w:eastAsia="Arial" w:hAnsi="Arial"/>
          <w:b/>
          <w:bCs/>
          <w:color w:val="5C3EB5"/>
          <w:sz w:val="25"/>
          <w:szCs w:val="25"/>
        </w:rPr>
        <w:t xml:space="preserve">6.2 Zugriffskontrolle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Schicht</w:t>
            </w:r>
          </w:p>
        </w:tc>
        <w:tc>
          <w:tcPr>
            <w:tcW w:type="dxa" w:w="3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Maßnahme</w:t>
            </w:r>
          </w:p>
        </w:tc>
        <w:tc>
          <w:tcPr>
            <w:tcW w:type="dxa" w:w="40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Implementierung</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Fabric Workspace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Rollenbasierter Zugriff (RBAC)</w:t>
            </w:r>
          </w:p>
        </w:tc>
        <w:tc>
          <w:tcPr>
            <w:tcW w:type="dxa" w:w="40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Admin: Stefan; Contributor: Data Analyst; Viewer: Vorstand/Business</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Power BI</w:t>
            </w:r>
          </w:p>
        </w:tc>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Row Level Security (RLS)</w:t>
            </w:r>
          </w:p>
        </w:tc>
        <w:tc>
          <w:tcPr>
            <w:tcW w:type="dxa" w:w="4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Rollenbasierte Datensicht im Semantic Model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Unity Catalog</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Table-Level GRANT / REVOKE</w:t>
            </w:r>
          </w:p>
        </w:tc>
        <w:tc>
          <w:tcPr>
            <w:tcW w:type="dxa" w:w="40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SELECT auf Gold: BI-Gruppe; Bronze/Silver: nur Service Principal + Stefan</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Unity Catalog</w:t>
            </w:r>
          </w:p>
        </w:tc>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Column-Level Security</w:t>
            </w:r>
          </w:p>
        </w:tc>
        <w:tc>
          <w:tcPr>
            <w:tcW w:type="dxa" w:w="4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Sensible Spalten (z.B. Kundennummer) maskiert für nicht autorisierte Gruppen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ADLS Gen2</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RBAC + ACLs</w:t>
            </w:r>
          </w:p>
        </w:tc>
        <w:tc>
          <w:tcPr>
            <w:tcW w:type="dxa" w:w="40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Service Principal für Pipelines; Managed Identity bevorzugt</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Key Vault</w:t>
            </w:r>
          </w:p>
        </w:tc>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Access Policies / RBAC</w:t>
            </w:r>
          </w:p>
        </w:tc>
        <w:tc>
          <w:tcPr>
            <w:tcW w:type="dxa" w:w="40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Nur autorisierte Service Principals und Stefan; keine Weitergabe von Secrets im Klartext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Entra ID (Azure AD)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Single Sign-On + MFA</w:t>
            </w:r>
          </w:p>
        </w:tc>
        <w:tc>
          <w:tcPr>
            <w:tcW w:type="dxa" w:w="40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MFA-Pflicht für alle Nutzer mit Workspace-Zugriff bestätigen]</w:t>
            </w:r>
            <w:r>
              <w:rPr>
                <w:rFonts w:ascii="Arial" w:cs="Arial" w:eastAsia="Arial" w:hAnsi="Arial"/>
                <w:color w:val="1A1A1A"/>
                <w:sz w:val="20"/>
                <w:szCs w:val="20"/>
              </w:rPr>
              <w:t xml:space="preserve"/>
            </w:r>
          </w:p>
        </w:tc>
      </w:tr>
    </w:tbl>
    <w:p>
      <w:pPr>
        <w:spacing w:after="0" w:before="100"/>
      </w:pPr>
    </w:p>
    <w:p>
      <w:pPr>
        <w:pStyle w:val="Heading2"/>
        <w:spacing w:after="120" w:before="240"/>
      </w:pPr>
      <w:r>
        <w:rPr>
          <w:rFonts w:ascii="Arial" w:cs="Arial" w:eastAsia="Arial" w:hAnsi="Arial"/>
          <w:b/>
          <w:bCs/>
          <w:color w:val="5C3EB5"/>
          <w:sz w:val="25"/>
          <w:szCs w:val="25"/>
        </w:rPr>
        <w:t xml:space="preserve">6.3 Netzwerksicherheit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Maßnahme</w:t>
            </w:r>
          </w:p>
        </w:tc>
        <w:tc>
          <w:tcPr>
            <w:tcW w:type="dxa" w:w="4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Beschreibung</w:t>
            </w:r>
          </w:p>
        </w:tc>
        <w:tc>
          <w:tcPr>
            <w:tcW w:type="dxa" w:w="25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Private Endpoints für ADLS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Kein öffentlicher Zugriff auf Storage — nur über privates Azure-Netzwerk</w:t>
            </w:r>
          </w:p>
        </w:tc>
        <w:tc>
          <w:tcPr>
            <w:tcW w:type="dxa" w:w="25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bestätigt / zu konfigurieren]</w:t>
            </w:r>
            <w:r>
              <w:rPr>
                <w:rFonts w:ascii="Arial" w:cs="Arial" w:eastAsia="Arial" w:hAnsi="Arial"/>
                <w:color w:val="1A1A1A"/>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VNet-Integration Databricks</w:t>
            </w:r>
          </w:p>
        </w:tc>
        <w:tc>
          <w:tcPr>
            <w:tcW w:type="dxa" w:w="4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Databricks-Cluster in dediziertem VNet</w:t>
            </w:r>
          </w:p>
        </w:tc>
        <w:tc>
          <w:tcPr>
            <w:tcW w:type="dxa" w:w="25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bestätigt durch Mutterkonzern]</w:t>
            </w:r>
            <w:r>
              <w:rPr>
                <w:rFonts w:ascii="Arial" w:cs="Arial" w:eastAsia="Arial" w:hAnsi="Arial"/>
                <w:color w:val="1A1A1A"/>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Firewall-Regeln SHIR</w:t>
            </w:r>
          </w:p>
        </w:tc>
        <w:tc>
          <w:tcPr>
            <w:tcW w:type="dxa" w:w="4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SHIR-VM nur für benötigte Ports zu AS/400 und Oracle erreichbar</w:t>
            </w:r>
          </w:p>
        </w:tc>
        <w:tc>
          <w:tcPr>
            <w:tcW w:type="dxa" w:w="25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Netzwerkkonfiguration mit IT-Infrastruktur-Kollegen abstimmen]</w:t>
            </w:r>
            <w:r>
              <w:rPr>
                <w:rFonts w:ascii="Arial" w:cs="Arial" w:eastAsia="Arial" w:hAnsi="Arial"/>
                <w:color w:val="1A1A1A"/>
                <w:sz w:val="20"/>
                <w:szCs w:val="20"/>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SHIR-VM-Placement</w:t>
            </w:r>
          </w:p>
        </w:tc>
        <w:tc>
          <w:tcPr>
            <w:tcW w:type="dxa" w:w="4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Entscheidung On-Premise vs. Azure VM ausstehend</w:t>
            </w:r>
          </w:p>
        </w:tc>
        <w:tc>
          <w:tcPr>
            <w:tcW w:type="dxa" w:w="25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Entscheidung bis TT.MM.JJJJ]</w:t>
            </w:r>
            <w:r>
              <w:rPr>
                <w:rFonts w:ascii="Arial" w:cs="Arial" w:eastAsia="Arial" w:hAnsi="Arial"/>
                <w:color w:val="1A1A1A"/>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Ausgehender Traffic SHIR → Azure</w:t>
            </w:r>
          </w:p>
        </w:tc>
        <w:tc>
          <w:tcPr>
            <w:tcW w:type="dxa" w:w="4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Über definierten Proxy / VPN-Tunnel</w:t>
            </w:r>
          </w:p>
        </w:tc>
        <w:tc>
          <w:tcPr>
            <w:tcW w:type="dxa" w:w="25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Konfiguration durch Mutterkonzern bestätigen]</w:t>
            </w:r>
            <w:r>
              <w:rPr>
                <w:rFonts w:ascii="Arial" w:cs="Arial" w:eastAsia="Arial" w:hAnsi="Arial"/>
                <w:color w:val="1A1A1A"/>
                <w:sz w:val="20"/>
                <w:szCs w:val="20"/>
              </w:rPr>
              <w:t xml:space="preserve"/>
            </w:r>
          </w:p>
        </w:tc>
      </w:tr>
    </w:tbl>
    <w:p>
      <w:pPr>
        <w:spacing w:after="0" w:before="100"/>
      </w:pPr>
    </w:p>
    <w:p>
      <w:pPr>
        <w:pStyle w:val="Heading2"/>
        <w:spacing w:after="120" w:before="240"/>
      </w:pPr>
      <w:r>
        <w:rPr>
          <w:rFonts w:ascii="Arial" w:cs="Arial" w:eastAsia="Arial" w:hAnsi="Arial"/>
          <w:b/>
          <w:bCs/>
          <w:color w:val="5C3EB5"/>
          <w:sz w:val="25"/>
          <w:szCs w:val="25"/>
        </w:rPr>
        <w:t xml:space="preserve">6.4 Monitoring &amp; Alerting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System</w:t>
            </w:r>
          </w:p>
        </w:tc>
        <w:tc>
          <w:tcPr>
            <w:tcW w:type="dxa" w:w="35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Was wird überwacht</w:t>
            </w:r>
          </w:p>
        </w:tc>
        <w:tc>
          <w:tcPr>
            <w:tcW w:type="dxa" w:w="35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Alerting</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Fabric Monitor Hub</w:t>
            </w:r>
          </w:p>
        </w:tc>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Alle Pipeline-Runs, Status, Dauer, Fehlermeldungen</w:t>
            </w:r>
          </w:p>
        </w:tc>
        <w:tc>
          <w:tcPr>
            <w:tcW w:type="dxa" w:w="35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Power Automate oder Azure Monitor Alert bei Pipeline-Fehler</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Jobs UI</w:t>
            </w:r>
          </w:p>
        </w:tc>
        <w:tc>
          <w:tcPr>
            <w:tcW w:type="dxa" w:w="3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Status und Logs aller Notebook-Jobs</w:t>
            </w:r>
          </w:p>
        </w:tc>
        <w:tc>
          <w:tcPr>
            <w:tcW w:type="dxa" w:w="35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E-Mail-Benachrichtigung bei Job-Fehler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Monitor + Log Analytics</w:t>
            </w:r>
          </w:p>
        </w:tc>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Cluster-Logs, Job-Logs, ADLS-Zugriffe, Entra ID Audit Logs</w:t>
            </w:r>
          </w:p>
        </w:tc>
        <w:tc>
          <w:tcPr>
            <w:tcW w:type="dxa" w:w="35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Alert bei Anomalien, unberechtigten Zugriffen, Kapazitätsüberschreitung</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Spark UI</w:t>
            </w:r>
          </w:p>
        </w:tc>
        <w:tc>
          <w:tcPr>
            <w:tcW w:type="dxa" w:w="3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Performance-Analyse (Stages, Tasks, Shuffle, Bottlenecks)</w:t>
            </w:r>
          </w:p>
        </w:tc>
        <w:tc>
          <w:tcPr>
            <w:tcW w:type="dxa" w:w="35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Manuell — kein automatisches Alerting</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Key Vault Audit Logs</w:t>
            </w:r>
          </w:p>
        </w:tc>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Jeder Zugriff auf Secrets protokolliert</w:t>
            </w:r>
          </w:p>
        </w:tc>
        <w:tc>
          <w:tcPr>
            <w:tcW w:type="dxa" w:w="35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Alert bei unerwarteten Key-Zugriffen konfigurieren]</w:t>
            </w:r>
            <w:r>
              <w:rPr>
                <w:rFonts w:ascii="Arial" w:cs="Arial" w:eastAsia="Arial" w:hAnsi="Arial"/>
                <w:color w:val="1A1A1A"/>
                <w:sz w:val="20"/>
                <w:szCs w:val="20"/>
              </w:rPr>
              <w:t xml:space="preserve"/>
            </w:r>
          </w:p>
        </w:tc>
      </w:tr>
    </w:tbl>
    <w:p>
      <w:r>
        <w:br/>
      </w:r>
    </w:p>
    <w:p>
      <w:pPr>
        <w:pStyle w:val="Heading1"/>
        <w:spacing w:after="160" w:before="360"/>
      </w:pPr>
      <w:r>
        <w:rPr>
          <w:rFonts w:ascii="Arial" w:cs="Arial" w:eastAsia="Arial" w:hAnsi="Arial"/>
          <w:b/>
          <w:bCs/>
          <w:color w:val="5C3EB5"/>
          <w:sz w:val="30"/>
          <w:szCs w:val="30"/>
        </w:rPr>
        <w:t xml:space="preserve">7. Notfall- &amp; Wiederherstellungskonzept</w:t>
      </w:r>
    </w:p>
    <w:p>
      <w:pPr>
        <w:pStyle w:val="Heading2"/>
        <w:spacing w:after="120" w:before="240"/>
      </w:pPr>
      <w:r>
        <w:rPr>
          <w:rFonts w:ascii="Arial" w:cs="Arial" w:eastAsia="Arial" w:hAnsi="Arial"/>
          <w:b/>
          <w:bCs/>
          <w:color w:val="5C3EB5"/>
          <w:sz w:val="25"/>
          <w:szCs w:val="25"/>
        </w:rPr>
        <w:t xml:space="preserve">7.1 RTO &amp; RPO je Komponente</w:t>
      </w:r>
    </w:p>
    <w:p>
      <w:pPr>
        <w:spacing w:after="80" w:before="60"/>
      </w:pPr>
      <w:r>
        <w:rPr>
          <w:rFonts w:ascii="Arial" w:cs="Arial" w:eastAsia="Arial" w:hAnsi="Arial"/>
          <w:color w:val="1A1A1A"/>
          <w:sz w:val="22"/>
          <w:szCs w:val="22"/>
        </w:rPr>
        <w:t xml:space="preserve">RTO (Recovery Time Objective): maximale akzeptable Ausfallzeit. RPO (Recovery Point Objective): maximaler akzeptabler Datenverlust.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5E6" w:val="clear"/>
            <w:tcMar>
              <w:top w:type="dxa" w:w="120"/>
              <w:left w:type="dxa" w:w="180"/>
              <w:bottom w:type="dxa" w:w="120"/>
              <w:right w:type="dxa" w:w="180"/>
            </w:tcMar>
          </w:tcPr>
          <w:p>
            <w:r>
              <w:rPr>
                <w:rFonts w:ascii="Arial" w:cs="Arial" w:eastAsia="Arial" w:hAnsi="Arial"/>
                <w:color w:val="1A1A1A"/>
                <w:sz w:val="20"/>
                <w:szCs w:val="20"/>
              </w:rPr>
              <w:t xml:space="preserve">Hinweis: Die RTO/RPO-Werte sind mit dem Compliance-Beauftragten und der Fachabteilung abzustimmen. Die unten genannten Werte sind technische Richtwerte des TPB — die fachliche Freigabe steht aus.</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426"/>
      </w:tblGrid>
      <w:tr>
        <w:trPr>
          <w:tblHeader/>
        </w:trPr>
        <w:tc>
          <w:tcPr>
            <w:tcW w:type="dxa" w:w="24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Komponente</w:t>
            </w:r>
          </w:p>
        </w:tc>
        <w:tc>
          <w:tcPr>
            <w:tcW w:type="dxa" w:w="16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RTO (Richtwert)</w:t>
            </w:r>
          </w:p>
        </w:tc>
        <w:tc>
          <w:tcPr>
            <w:tcW w:type="dxa" w:w="16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RPO (Richtwert)</w:t>
            </w:r>
          </w:p>
        </w:tc>
        <w:tc>
          <w:tcPr>
            <w:tcW w:type="dxa" w:w="34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Wiederherstellungsmechanismus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ADLS Gen2 (Datenspeicher)</w:t>
            </w:r>
          </w:p>
        </w:tc>
        <w:tc>
          <w:tcPr>
            <w:tcW w:type="dxa" w:w="16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z.B. 4h]</w:t>
            </w:r>
            <w:r>
              <w:rPr>
                <w:rFonts w:ascii="Arial" w:cs="Arial" w:eastAsia="Arial" w:hAnsi="Arial"/>
                <w:color w:val="1A1A1A"/>
                <w:sz w:val="20"/>
                <w:szCs w:val="20"/>
              </w:rPr>
              <w:t xml:space="preserve"/>
            </w:r>
          </w:p>
        </w:tc>
        <w:tc>
          <w:tcPr>
            <w:tcW w:type="dxa" w:w="16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z.B. 24h]</w:t>
            </w:r>
            <w:r>
              <w:rPr>
                <w:rFonts w:ascii="Arial" w:cs="Arial" w:eastAsia="Arial" w:hAnsi="Arial"/>
                <w:color w:val="1A1A1A"/>
                <w:sz w:val="20"/>
                <w:szCs w:val="20"/>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Geo-Redundant Storage (GRS); Delta Time Travel für Tabellen-Rollback</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Gold Layer</w:t>
            </w:r>
          </w:p>
        </w:tc>
        <w:tc>
          <w:tcPr>
            <w:tcW w:type="dxa" w:w="16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z.B. 2h]</w:t>
            </w:r>
            <w:r>
              <w:rPr>
                <w:rFonts w:ascii="Arial" w:cs="Arial" w:eastAsia="Arial" w:hAnsi="Arial"/>
                <w:color w:val="1A1A1A"/>
                <w:sz w:val="20"/>
                <w:szCs w:val="20"/>
              </w:rPr>
              <w:t xml:space="preserve"/>
            </w:r>
          </w:p>
        </w:tc>
        <w:tc>
          <w:tcPr>
            <w:tcW w:type="dxa" w:w="16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z.B. 24h]</w:t>
            </w:r>
            <w:r>
              <w:rPr>
                <w:rFonts w:ascii="Arial" w:cs="Arial" w:eastAsia="Arial" w:hAnsi="Arial"/>
                <w:color w:val="1A1A1A"/>
                <w:sz w:val="20"/>
                <w:szCs w:val="20"/>
              </w:rPr>
              <w:t xml:space="preserve"/>
            </w:r>
          </w:p>
        </w:tc>
        <w:tc>
          <w:tcPr>
            <w:tcW w:type="dxa" w:w="3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Delta Lake Time Travel (RESTORE TO VERSION / TIMESTAMP)</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Silver Layer</w:t>
            </w:r>
          </w:p>
        </w:tc>
        <w:tc>
          <w:tcPr>
            <w:tcW w:type="dxa" w:w="16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z.B. 4h]</w:t>
            </w:r>
            <w:r>
              <w:rPr>
                <w:rFonts w:ascii="Arial" w:cs="Arial" w:eastAsia="Arial" w:hAnsi="Arial"/>
                <w:color w:val="1A1A1A"/>
                <w:sz w:val="20"/>
                <w:szCs w:val="20"/>
              </w:rPr>
              <w:t xml:space="preserve"/>
            </w:r>
          </w:p>
        </w:tc>
        <w:tc>
          <w:tcPr>
            <w:tcW w:type="dxa" w:w="16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z.B. 48h]</w:t>
            </w:r>
            <w:r>
              <w:rPr>
                <w:rFonts w:ascii="Arial" w:cs="Arial" w:eastAsia="Arial" w:hAnsi="Arial"/>
                <w:color w:val="1A1A1A"/>
                <w:sz w:val="20"/>
                <w:szCs w:val="20"/>
              </w:rPr>
              <w:t xml:space="preserve"/>
            </w:r>
          </w:p>
        </w:tc>
        <w:tc>
          <w:tcPr>
            <w:tcW w:type="dxa" w:w="3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Delta Lake Time Travel; ggf. Re-Run aus Bronze</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Bronze Layer</w:t>
            </w:r>
          </w:p>
        </w:tc>
        <w:tc>
          <w:tcPr>
            <w:tcW w:type="dxa" w:w="16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z.B. 8h]</w:t>
            </w:r>
            <w:r>
              <w:rPr>
                <w:rFonts w:ascii="Arial" w:cs="Arial" w:eastAsia="Arial" w:hAnsi="Arial"/>
                <w:color w:val="1A1A1A"/>
                <w:sz w:val="20"/>
                <w:szCs w:val="20"/>
              </w:rPr>
              <w:t xml:space="preserve"/>
            </w:r>
          </w:p>
        </w:tc>
        <w:tc>
          <w:tcPr>
            <w:tcW w:type="dxa" w:w="16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z.B. 72h]</w:t>
            </w:r>
            <w:r>
              <w:rPr>
                <w:rFonts w:ascii="Arial" w:cs="Arial" w:eastAsia="Arial" w:hAnsi="Arial"/>
                <w:color w:val="1A1A1A"/>
                <w:sz w:val="20"/>
                <w:szCs w:val="20"/>
              </w:rPr>
              <w:t xml:space="preserve"/>
            </w:r>
          </w:p>
        </w:tc>
        <w:tc>
          <w:tcPr>
            <w:tcW w:type="dxa" w:w="3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Re-Extraktion aus Quellsystemen (falls verfügbar)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SHIR (VM)</w:t>
            </w:r>
          </w:p>
        </w:tc>
        <w:tc>
          <w:tcPr>
            <w:tcW w:type="dxa" w:w="16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z.B. 4h]</w:t>
            </w:r>
            <w:r>
              <w:rPr>
                <w:rFonts w:ascii="Arial" w:cs="Arial" w:eastAsia="Arial" w:hAnsi="Arial"/>
                <w:color w:val="1A1A1A"/>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Kein Datenverlust (stateless)</w:t>
            </w:r>
          </w:p>
        </w:tc>
        <w:tc>
          <w:tcPr>
            <w:tcW w:type="dxa" w:w="3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VM-Neuinstallation; SHIR-Registrierung mit bekanntem Key</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Fabric Pipelines</w:t>
            </w:r>
          </w:p>
        </w:tc>
        <w:tc>
          <w:tcPr>
            <w:tcW w:type="dxa" w:w="16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z.B. 2h]</w:t>
            </w:r>
            <w:r>
              <w:rPr>
                <w:rFonts w:ascii="Arial" w:cs="Arial" w:eastAsia="Arial" w:hAnsi="Arial"/>
                <w:color w:val="1A1A1A"/>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Kein Datenverlust (Konfiguration in Git)</w:t>
            </w:r>
          </w:p>
        </w:tc>
        <w:tc>
          <w:tcPr>
            <w:tcW w:type="dxa" w:w="3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Re-Deployment aus Git-Repository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Power BI Semantic Model</w:t>
            </w:r>
          </w:p>
        </w:tc>
        <w:tc>
          <w:tcPr>
            <w:tcW w:type="dxa" w:w="16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z.B. 2h]</w:t>
            </w:r>
            <w:r>
              <w:rPr>
                <w:rFonts w:ascii="Arial" w:cs="Arial" w:eastAsia="Arial" w:hAnsi="Arial"/>
                <w:color w:val="1A1A1A"/>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Kein Datenverlust (Gold Layer unverändert)</w:t>
            </w:r>
          </w:p>
        </w:tc>
        <w:tc>
          <w:tcPr>
            <w:tcW w:type="dxa" w:w="3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Re-Publish aus Fabric Workspace</w:t>
            </w:r>
          </w:p>
        </w:tc>
      </w:tr>
    </w:tbl>
    <w:p>
      <w:pPr>
        <w:spacing w:after="0" w:before="100"/>
      </w:pPr>
    </w:p>
    <w:p>
      <w:pPr>
        <w:pStyle w:val="Heading2"/>
        <w:spacing w:after="120" w:before="240"/>
      </w:pPr>
      <w:r>
        <w:rPr>
          <w:rFonts w:ascii="Arial" w:cs="Arial" w:eastAsia="Arial" w:hAnsi="Arial"/>
          <w:b/>
          <w:bCs/>
          <w:color w:val="5C3EB5"/>
          <w:sz w:val="25"/>
          <w:szCs w:val="25"/>
        </w:rPr>
        <w:t xml:space="preserve">7.2 Delta Lake Time Travel als Recovery-Mechanismus</w:t>
      </w:r>
    </w:p>
    <w:p>
      <w:pPr>
        <w:spacing w:after="80" w:before="60"/>
      </w:pPr>
      <w:r>
        <w:rPr>
          <w:rFonts w:ascii="Arial" w:cs="Arial" w:eastAsia="Arial" w:hAnsi="Arial"/>
          <w:color w:val="1A1A1A"/>
          <w:sz w:val="22"/>
          <w:szCs w:val="22"/>
        </w:rPr>
        <w:t xml:space="preserve">Jeder Schreibvorgang in Delta Lake erzeugt eine neue Version im Transaction Log. Damit können Tabellenstände zu beliebigen früheren Zeitpunkten wiederhergestellt werden:</w:t>
      </w:r>
    </w:p>
    <w:p>
      <w:pPr>
        <w:pStyle w:val="ListParagraph"/>
        <w:numPr>
          <w:ilvl w:val="0"/>
          <w:numId w:val="3"/>
        </w:numPr>
        <w:spacing w:after="40" w:before="40"/>
      </w:pPr>
      <w:r>
        <w:rPr>
          <w:rFonts w:ascii="Arial" w:cs="Arial" w:eastAsia="Arial" w:hAnsi="Arial"/>
          <w:b/>
          <w:bCs/>
          <w:color w:val="1A1A1A"/>
          <w:sz w:val="22"/>
          <w:szCs w:val="22"/>
        </w:rPr>
        <w:t xml:space="preserve">Fehleranalyse: </w:t>
      </w:r>
      <w:r>
        <w:rPr>
          <w:rFonts w:ascii="Arial" w:cs="Arial" w:eastAsia="Arial" w:hAnsi="Arial"/>
          <w:color w:val="1A1A1A"/>
          <w:sz w:val="22"/>
          <w:szCs w:val="22"/>
        </w:rPr>
        <w:t xml:space="preserve">Fehlerhaften Schreibvorgang im Transaction Log identifizieren</w:t>
      </w:r>
    </w:p>
    <w:p>
      <w:pPr>
        <w:pStyle w:val="ListParagraph"/>
        <w:numPr>
          <w:ilvl w:val="0"/>
          <w:numId w:val="3"/>
        </w:numPr>
        <w:spacing w:after="40" w:before="40"/>
      </w:pPr>
      <w:r>
        <w:rPr>
          <w:rFonts w:ascii="Arial" w:cs="Arial" w:eastAsia="Arial" w:hAnsi="Arial"/>
          <w:b/>
          <w:bCs/>
          <w:color w:val="1A1A1A"/>
          <w:sz w:val="22"/>
          <w:szCs w:val="22"/>
        </w:rPr>
        <w:t xml:space="preserve">Rollback ausführen: </w:t>
      </w:r>
      <w:r>
        <w:rPr>
          <w:rFonts w:ascii="Arial" w:cs="Arial" w:eastAsia="Arial" w:hAnsi="Arial"/>
          <w:color w:val="1A1A1A"/>
          <w:sz w:val="22"/>
          <w:szCs w:val="22"/>
        </w:rPr>
        <w:t xml:space="preserve">RESTORE TABLE gold.kpi_tabelle TO VERSION AS OF &lt;N&gt; (Databricks SQL)</w:t>
      </w:r>
    </w:p>
    <w:p>
      <w:pPr>
        <w:pStyle w:val="ListParagraph"/>
        <w:numPr>
          <w:ilvl w:val="0"/>
          <w:numId w:val="3"/>
        </w:numPr>
        <w:spacing w:after="40" w:before="40"/>
      </w:pPr>
      <w:r>
        <w:rPr>
          <w:rFonts w:ascii="Arial" w:cs="Arial" w:eastAsia="Arial" w:hAnsi="Arial"/>
          <w:b/>
          <w:bCs/>
          <w:color w:val="1A1A1A"/>
          <w:sz w:val="22"/>
          <w:szCs w:val="22"/>
        </w:rPr>
        <w:t xml:space="preserve">Validierung: </w:t>
      </w:r>
      <w:r>
        <w:rPr>
          <w:rFonts w:ascii="Arial" w:cs="Arial" w:eastAsia="Arial" w:hAnsi="Arial"/>
          <w:color w:val="1A1A1A"/>
          <w:sz w:val="22"/>
          <w:szCs w:val="22"/>
        </w:rPr>
        <w:t xml:space="preserve">Wiederhergestellten Stand prüfen — stimmen KPI-Werte mit Erwartungswerten überein?</w:t>
      </w:r>
    </w:p>
    <w:p>
      <w:pPr>
        <w:pStyle w:val="ListParagraph"/>
        <w:numPr>
          <w:ilvl w:val="0"/>
          <w:numId w:val="3"/>
        </w:numPr>
        <w:spacing w:after="40" w:before="40"/>
      </w:pPr>
      <w:r>
        <w:rPr>
          <w:rFonts w:ascii="Arial" w:cs="Arial" w:eastAsia="Arial" w:hAnsi="Arial"/>
          <w:b/>
          <w:bCs/>
          <w:color w:val="1A1A1A"/>
          <w:sz w:val="22"/>
          <w:szCs w:val="22"/>
        </w:rPr>
        <w:t xml:space="preserve">Dokumentation: </w:t>
      </w:r>
      <w:r>
        <w:rPr>
          <w:rFonts w:ascii="Arial" w:cs="Arial" w:eastAsia="Arial" w:hAnsi="Arial"/>
          <w:color w:val="1A1A1A"/>
          <w:sz w:val="22"/>
          <w:szCs w:val="22"/>
        </w:rPr>
        <w:t xml:space="preserve">Vorfall und Wiederherstellungsschritte im DORA-Incident-Log festhalten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5E6" w:val="clear"/>
            <w:tcMar>
              <w:top w:type="dxa" w:w="120"/>
              <w:left w:type="dxa" w:w="180"/>
              <w:bottom w:type="dxa" w:w="120"/>
              <w:right w:type="dxa" w:w="180"/>
            </w:tcMar>
          </w:tcPr>
          <w:p>
            <w:r>
              <w:rPr>
                <w:rFonts w:ascii="Arial" w:cs="Arial" w:eastAsia="Arial" w:hAnsi="Arial"/>
                <w:b/>
                <w:bCs/>
                <w:color w:val="1A1A1A"/>
                <w:sz w:val="22"/>
                <w:szCs w:val="22"/>
              </w:rPr>
              <w:t xml:space="preserve">Wichtig: </w:t>
            </w:r>
            <w:r>
              <w:rPr>
                <w:rFonts w:ascii="Arial" w:cs="Arial" w:eastAsia="Arial" w:hAnsi="Arial"/>
                <w:color w:val="1A1A1A"/>
                <w:sz w:val="20"/>
                <w:szCs w:val="20"/>
              </w:rPr>
              <w:t xml:space="preserve">VACUUM-Befehle löschen ältere Delta-Versionen unwiderruflich. Standard-Retention: 7 Tage. Für DORA-Compliance empfehlenswert: Retention auf mindestens 30 Tage erhöhen (</w:t>
            </w:r>
            <w:r>
              <w:rPr>
                <w:rFonts w:ascii="Courier New" w:cs="Courier New" w:eastAsia="Courier New" w:hAnsi="Courier New"/>
                <w:color w:val="1A1A1A"/>
                <w:sz w:val="20"/>
                <w:szCs w:val="20"/>
              </w:rPr>
              <w:t xml:space="preserve">spark.databricks.delta.retentionDurationCheck.enabled = false</w:t>
            </w:r>
            <w:r>
              <w:rPr>
                <w:rFonts w:ascii="Arial" w:cs="Arial" w:eastAsia="Arial" w:hAnsi="Arial"/>
                <w:color w:val="1A1A1A"/>
                <w:sz w:val="20"/>
                <w:szCs w:val="20"/>
              </w:rPr>
              <w:t xml:space="preserve"> + VACUUM RETAIN 720 HOURS). Mit Compliance abstimmen.</w:t>
            </w:r>
          </w:p>
        </w:tc>
      </w:tr>
    </w:tbl>
    <w:p>
      <w:pPr>
        <w:spacing w:after="0" w:before="100"/>
      </w:pPr>
    </w:p>
    <w:p>
      <w:pPr>
        <w:pStyle w:val="Heading2"/>
        <w:spacing w:after="120" w:before="240"/>
      </w:pPr>
      <w:r>
        <w:rPr>
          <w:rFonts w:ascii="Arial" w:cs="Arial" w:eastAsia="Arial" w:hAnsi="Arial"/>
          <w:b/>
          <w:bCs/>
          <w:color w:val="5C3EB5"/>
          <w:sz w:val="25"/>
          <w:szCs w:val="25"/>
        </w:rPr>
        <w:t xml:space="preserve">7.3 Eskalationspfad bei ICT-Incident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500"/>
        <w:gridCol w:w="2426"/>
      </w:tblGrid>
      <w:tr>
        <w:trPr>
          <w:tblHeader/>
        </w:trPr>
        <w:tc>
          <w:tcPr>
            <w:tcW w:type="dxa" w:w="6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Schritt</w:t>
            </w:r>
          </w:p>
        </w:tc>
        <w:tc>
          <w:tcPr>
            <w:tcW w:type="dxa" w:w="35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Aktion</w:t>
            </w:r>
          </w:p>
        </w:tc>
        <w:tc>
          <w:tcPr>
            <w:tcW w:type="dxa" w:w="25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Verantwortlich</w:t>
            </w:r>
          </w:p>
        </w:tc>
        <w:tc>
          <w:tcPr>
            <w:tcW w:type="dxa" w:w="24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Zeitlimit</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Incident erkennen und intern klassifizieren (Schwere 1–3)</w:t>
            </w:r>
          </w:p>
        </w:tc>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TPB (Stefan)</w:t>
            </w:r>
          </w:p>
        </w:tc>
        <w:tc>
          <w:tcPr>
            <w:tcW w:type="dxa" w:w="2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sofort</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Compliance-Beauftragten informieren</w:t>
            </w:r>
          </w:p>
        </w:tc>
        <w:tc>
          <w:tcPr>
            <w:tcW w:type="dxa" w:w="2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TPB (Stefan)</w:t>
            </w:r>
          </w:p>
        </w:tc>
        <w:tc>
          <w:tcPr>
            <w:tcW w:type="dxa" w:w="2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&lt; 1h nach Erkennung</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Technische Erstanalyse und Eindämmungsmaßnahmen</w:t>
            </w:r>
          </w:p>
        </w:tc>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TPB (Stefan) + IT-Infrastruktur</w:t>
            </w:r>
          </w:p>
        </w:tc>
        <w:tc>
          <w:tcPr>
            <w:tcW w:type="dxa" w:w="2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&lt; 4h</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Bewertung BaFin-Meldepflicht (DORA Art. 19)</w:t>
            </w:r>
          </w:p>
        </w:tc>
        <w:tc>
          <w:tcPr>
            <w:tcW w:type="dxa" w:w="2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Compliance-Beauftragter</w:t>
            </w:r>
          </w:p>
        </w:tc>
        <w:tc>
          <w:tcPr>
            <w:tcW w:type="dxa" w:w="2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&lt; 4h</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Wiederherstellung und Validierung</w:t>
            </w:r>
          </w:p>
        </w:tc>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TPB (Stefan)</w:t>
            </w:r>
          </w:p>
        </w:tc>
        <w:tc>
          <w:tcPr>
            <w:tcW w:type="dxa" w:w="24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gem. RTO je Komponente]</w:t>
            </w:r>
            <w:r>
              <w:rPr>
                <w:rFonts w:ascii="Arial" w:cs="Arial" w:eastAsia="Arial" w:hAnsi="Arial"/>
                <w:color w:val="1A1A1A"/>
                <w:sz w:val="20"/>
                <w:szCs w:val="20"/>
              </w:rPr>
              <w:t xml:space="preserve"/>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6</w:t>
            </w:r>
          </w:p>
        </w:tc>
        <w:tc>
          <w:tcPr>
            <w:tcW w:type="dxa" w:w="3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Post-Incident-Review und Dokumentation</w:t>
            </w:r>
          </w:p>
        </w:tc>
        <w:tc>
          <w:tcPr>
            <w:tcW w:type="dxa" w:w="25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TPB + Compliance</w:t>
            </w:r>
          </w:p>
        </w:tc>
        <w:tc>
          <w:tcPr>
            <w:tcW w:type="dxa" w:w="2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&lt; 5 Werktage nach Incident</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BaFin-Meldung (falls meldepflichtig)</w:t>
            </w:r>
          </w:p>
        </w:tc>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Compliance-Beauftragter</w:t>
            </w:r>
          </w:p>
        </w:tc>
        <w:tc>
          <w:tcPr>
            <w:tcW w:type="dxa" w:w="24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gem. DORA-Fristen]</w:t>
            </w:r>
            <w:r>
              <w:rPr>
                <w:rFonts w:ascii="Arial" w:cs="Arial" w:eastAsia="Arial" w:hAnsi="Arial"/>
                <w:color w:val="1A1A1A"/>
                <w:sz w:val="20"/>
                <w:szCs w:val="20"/>
              </w:rPr>
              <w:t xml:space="preserve"/>
            </w:r>
          </w:p>
        </w:tc>
      </w:tr>
    </w:tbl>
    <w:p>
      <w:r>
        <w:br/>
      </w:r>
    </w:p>
    <w:p>
      <w:pPr>
        <w:pStyle w:val="Heading1"/>
        <w:spacing w:after="160" w:before="360"/>
      </w:pPr>
      <w:r>
        <w:rPr>
          <w:rFonts w:ascii="Arial" w:cs="Arial" w:eastAsia="Arial" w:hAnsi="Arial"/>
          <w:b/>
          <w:bCs/>
          <w:color w:val="5C3EB5"/>
          <w:sz w:val="30"/>
          <w:szCs w:val="30"/>
        </w:rPr>
        <w:t xml:space="preserve">8. ICT-Drittanbieter</w:t>
      </w:r>
    </w:p>
    <w:p>
      <w:pPr>
        <w:spacing w:after="80" w:before="60"/>
      </w:pPr>
      <w:r>
        <w:rPr>
          <w:rFonts w:ascii="Arial" w:cs="Arial" w:eastAsia="Arial" w:hAnsi="Arial"/>
          <w:color w:val="1A1A1A"/>
          <w:sz w:val="22"/>
          <w:szCs w:val="22"/>
        </w:rPr>
        <w:t xml:space="preserve">DORA verpflichtet Finanzinstitute zur systematischen Erfassung und Überwachung aller ICT-Drittanbieter (Art. 28 DORA). Folgende Drittanbieter sind für dispDB relevant: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2400"/>
        <w:gridCol w:w="1426"/>
      </w:tblGrid>
      <w:tr>
        <w:trPr>
          <w:tblHeader/>
        </w:trPr>
        <w:tc>
          <w:tcPr>
            <w:tcW w:type="dxa" w:w="18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Anbieter</w:t>
            </w:r>
          </w:p>
        </w:tc>
        <w:tc>
          <w:tcPr>
            <w:tcW w:type="dxa" w:w="22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Leistung</w:t>
            </w:r>
          </w:p>
        </w:tc>
        <w:tc>
          <w:tcPr>
            <w:tcW w:type="dxa" w:w="12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Kritikalität</w:t>
            </w:r>
          </w:p>
        </w:tc>
        <w:tc>
          <w:tcPr>
            <w:tcW w:type="dxa" w:w="24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DORA-Anforderung</w:t>
            </w:r>
          </w:p>
        </w:tc>
        <w:tc>
          <w:tcPr>
            <w:tcW w:type="dxa" w:w="14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**Mutterkonzern**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Azure-Tenant, ADLS, Fabric-Kapazität, Databricks, Terraform-Infrastruktur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KRITISCH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Vertragliche DORA-Konformität; Drittanbieter-Register; Audit-Rechte</w:t>
            </w:r>
          </w:p>
        </w:tc>
        <w:tc>
          <w:tcPr>
            <w:tcW w:type="dxa" w:w="14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Im Drittanbieter-Register erfasst? Vertrag DORA-konform?]</w:t>
            </w:r>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**Microsoft**</w:t>
            </w:r>
          </w:p>
        </w:tc>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MS Fabric (SaaS), Azure (IaaS/PaaS), Entra ID, Purview, Key Vault</w:t>
            </w:r>
          </w:p>
        </w:tc>
        <w:tc>
          <w:tcPr>
            <w:tcW w:type="dxa" w:w="1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DORA-konforme Vertragsklauseln (Microsoft Azure DPA)</w:t>
            </w:r>
          </w:p>
        </w:tc>
        <w:tc>
          <w:tcPr>
            <w:tcW w:type="dxa" w:w="14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Microsoft Cloud-Vertrag prüfen auf DORA-Klauseln]</w:t>
            </w:r>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Databricks on Azure — Analytics-Plattform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DORA-konforme Vertragsklauseln; SLAs dokumentiert</w:t>
            </w:r>
          </w:p>
        </w:tc>
        <w:tc>
          <w:tcPr>
            <w:tcW w:type="dxa" w:w="14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Databricks-Vertrag prüfen; SLAs bestätigen]</w:t>
            </w:r>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**msg-Life**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Oracle 11g / msg-Life-Kernsystem (Lebensversicherung)</w:t>
            </w:r>
          </w:p>
        </w:tc>
        <w:tc>
          <w:tcPr>
            <w:tcW w:type="dxa" w:w="1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MITTEL</w:t>
            </w:r>
          </w:p>
        </w:tc>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Datenaustausch-Schnittstelle dokumentiert</w:t>
            </w:r>
          </w:p>
        </w:tc>
        <w:tc>
          <w:tcPr>
            <w:tcW w:type="dxa" w:w="1426"/>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Schnittstellenvertrag / Datenliefervereinbarung vorhanden?]</w:t>
            </w:r>
            <w:r>
              <w:rPr>
                <w:rFonts w:ascii="Arial" w:cs="Arial" w:eastAsia="Arial" w:hAnsi="Arial"/>
                <w:color w:val="1A1A1A"/>
                <w:sz w:val="20"/>
                <w:szCs w:val="20"/>
              </w:rPr>
              <w:t xml:space="preserve"/>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0EC" w:val="clear"/>
            <w:tcMar>
              <w:top w:type="dxa" w:w="120"/>
              <w:left w:type="dxa" w:w="180"/>
              <w:bottom w:type="dxa" w:w="120"/>
              <w:right w:type="dxa" w:w="180"/>
            </w:tcMar>
          </w:tcPr>
          <w:p>
            <w:r>
              <w:rPr>
                <w:rFonts w:ascii="Arial" w:cs="Arial" w:eastAsia="Arial" w:hAnsi="Arial"/>
                <w:color w:val="1A1A1A"/>
                <w:sz w:val="20"/>
                <w:szCs w:val="20"/>
              </w:rPr>
              <w:t xml:space="preserve">Handlungsbedarf: Das Drittanbieter-Register ist gemeinsam mit dem IT-Risikomanagement zu führen. Für den Mutterkonzern als kritischen Drittanbieter ist gemäß DORA Art. 30 ein vertragliches Mindestset an Klauseln (Leistungsbeschreibung, Ausstiegsrechte, Audit-Rechte, Subbeauftragung, Datensicherheit) sicherzustellen.</w:t>
            </w:r>
          </w:p>
        </w:tc>
      </w:tr>
    </w:tbl>
    <w:p>
      <w:r>
        <w:br/>
      </w:r>
    </w:p>
    <w:p>
      <w:pPr>
        <w:pStyle w:val="Heading1"/>
        <w:spacing w:after="160" w:before="360"/>
      </w:pPr>
      <w:r>
        <w:rPr>
          <w:rFonts w:ascii="Arial" w:cs="Arial" w:eastAsia="Arial" w:hAnsi="Arial"/>
          <w:b/>
          <w:bCs/>
          <w:color w:val="5C3EB5"/>
          <w:sz w:val="30"/>
          <w:szCs w:val="30"/>
        </w:rPr>
        <w:t xml:space="preserve">9. Audit Trail &amp; DORA-Nachweise</w:t>
      </w:r>
    </w:p>
    <w:p>
      <w:pPr>
        <w:spacing w:after="80" w:before="60"/>
      </w:pPr>
      <w:r>
        <w:rPr>
          <w:rFonts w:ascii="Arial" w:cs="Arial" w:eastAsia="Arial" w:hAnsi="Arial"/>
          <w:color w:val="1A1A1A"/>
          <w:sz w:val="22"/>
          <w:szCs w:val="22"/>
        </w:rPr>
        <w:t xml:space="preserve">dispDB produziert durch seine technische Architektur automatisch die wesentlichen DORA-Nachweise. Die folgende Tabelle zeigt das Mapping zwischen DORA-Anforderung und technischem Nachweis: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000"/>
        <w:gridCol w:w="2426"/>
      </w:tblGrid>
      <w:tr>
        <w:trPr>
          <w:tblHeader/>
        </w:trPr>
        <w:tc>
          <w:tcPr>
            <w:tcW w:type="dxa" w:w="24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DORA-Anforderung</w:t>
            </w:r>
          </w:p>
        </w:tc>
        <w:tc>
          <w:tcPr>
            <w:tcW w:type="dxa" w:w="12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Art. / Bereich</w:t>
            </w:r>
          </w:p>
        </w:tc>
        <w:tc>
          <w:tcPr>
            <w:tcW w:type="dxa" w:w="3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Technischer Nachweis in dispDB</w:t>
            </w:r>
          </w:p>
        </w:tc>
        <w:tc>
          <w:tcPr>
            <w:tcW w:type="dxa" w:w="24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Fundstelle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ICT-Risikomanagement dokumentiert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Art. 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Dieses TSK-Dokument</w:t>
            </w:r>
          </w:p>
        </w:tc>
        <w:tc>
          <w:tcPr>
            <w:tcW w:type="dxa" w:w="2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Kapitel 5 + 6</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Vollständiger Audit Trail aller Datenoperationen</w:t>
            </w:r>
          </w:p>
        </w:tc>
        <w:tc>
          <w:tcPr>
            <w:tcW w:type="dxa" w:w="1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Art. 9</w:t>
            </w:r>
          </w:p>
        </w:tc>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Delta Lake Transaction Log (unveränderlich, je Tabelle)</w:t>
            </w:r>
          </w:p>
        </w:tc>
        <w:tc>
          <w:tcPr>
            <w:tcW w:type="dxa" w:w="2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ADLS: _delta_log/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Monitoring und Erkennung von Anomalien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Art. 10</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Monitor + Log Analytics + Fabric Monitor Hub</w:t>
            </w:r>
          </w:p>
        </w:tc>
        <w:tc>
          <w:tcPr>
            <w:tcW w:type="dxa" w:w="2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Portal</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Incident-Erkennung und -Klassifizierung</w:t>
            </w:r>
          </w:p>
        </w:tc>
        <w:tc>
          <w:tcPr>
            <w:tcW w:type="dxa" w:w="1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Art. 17</w:t>
            </w:r>
          </w:p>
        </w:tc>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Monitor Alerts + Eskalationsplan (Kapitel 7.3)</w:t>
            </w:r>
          </w:p>
        </w:tc>
        <w:tc>
          <w:tcPr>
            <w:tcW w:type="dxa" w:w="2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Kapitel 7.3</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Business Continuity &amp; Wiederherstellung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Art. 11</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Delta Time Travel + Azure GRS + RTO/RPO-Tabelle</w:t>
            </w:r>
          </w:p>
        </w:tc>
        <w:tc>
          <w:tcPr>
            <w:tcW w:type="dxa" w:w="2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Kapitel 7.1</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Nachvollziehbarkeit des Datenflusses (Lineage)</w:t>
            </w:r>
          </w:p>
        </w:tc>
        <w:tc>
          <w:tcPr>
            <w:tcW w:type="dxa" w:w="1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Art. 9</w:t>
            </w:r>
          </w:p>
        </w:tc>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Microsoft Purview Data Lineage (automatisch)</w:t>
            </w:r>
          </w:p>
        </w:tc>
        <w:tc>
          <w:tcPr>
            <w:tcW w:type="dxa" w:w="2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Purview Portal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Zugriffsprotokolle und Berechtigungsnachweis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Art. 9</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Entra ID Audit Logs + Unity Catalog Audit Logs</w:t>
            </w:r>
          </w:p>
        </w:tc>
        <w:tc>
          <w:tcPr>
            <w:tcW w:type="dxa" w:w="2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Azure Monitor / Databricks</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Drittanbieter-Register und Vertragsübersicht</w:t>
            </w:r>
          </w:p>
        </w:tc>
        <w:tc>
          <w:tcPr>
            <w:tcW w:type="dxa" w:w="1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Art. 28</w:t>
            </w:r>
          </w:p>
        </w:tc>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Kapitel 8 dieses TSK + internes Register</w:t>
            </w:r>
          </w:p>
        </w:tc>
        <w:tc>
          <w:tcPr>
            <w:tcW w:type="dxa" w:w="2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Kapitel 8</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Verschlüsselung vertraulicher Daten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Art. 9</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ADLS AES-256 at rest; TLS 1.2+ in transit</w:t>
            </w:r>
          </w:p>
        </w:tc>
        <w:tc>
          <w:tcPr>
            <w:tcW w:type="dxa" w:w="24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Kapitel 6.1</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Sensitivity Classification für Daten</w:t>
            </w:r>
          </w:p>
        </w:tc>
        <w:tc>
          <w:tcPr>
            <w:tcW w:type="dxa" w:w="1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Art. 9</w:t>
            </w:r>
          </w:p>
        </w:tc>
        <w:tc>
          <w:tcPr>
            <w:tcW w:type="dxa" w:w="3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Microsoft Purview Sensitivity Labels auf allen Artefakten</w:t>
            </w:r>
          </w:p>
        </w:tc>
        <w:tc>
          <w:tcPr>
            <w:tcW w:type="dxa" w:w="24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Purview Portal</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8FC" w:val="clear"/>
            <w:tcMar>
              <w:top w:type="dxa" w:w="120"/>
              <w:left w:type="dxa" w:w="180"/>
              <w:bottom w:type="dxa" w:w="120"/>
              <w:right w:type="dxa" w:w="180"/>
            </w:tcMar>
          </w:tcPr>
          <w:p>
            <w:r>
              <w:rPr>
                <w:rFonts w:ascii="Arial" w:cs="Arial" w:eastAsia="Arial" w:hAnsi="Arial"/>
                <w:b/>
                <w:bCs/>
                <w:color w:val="1A1A1A"/>
                <w:sz w:val="22"/>
                <w:szCs w:val="22"/>
              </w:rPr>
              <w:t xml:space="preserve">Schlüsselerkenntnis: </w:t>
            </w:r>
            <w:r>
              <w:rPr>
                <w:rFonts w:ascii="Arial" w:cs="Arial" w:eastAsia="Arial" w:hAnsi="Arial"/>
                <w:color w:val="1A1A1A"/>
                <w:sz w:val="20"/>
                <w:szCs w:val="20"/>
              </w:rPr>
              <w:t xml:space="preserve">Der Delta Lake Transaction Log ist der wichtigste Einzel-Nachweis für DORA. Er ist unveränderlich, automatisch und enthält jeden Schreibvorgang mit Zeitstempel, Operation und Benutzer. Er sollte niemals mit VACUUM unter die vereinbarte Retention-Zeit bereinigt werden.</w:t>
            </w:r>
          </w:p>
        </w:tc>
      </w:tr>
    </w:tbl>
    <w:p>
      <w:r>
        <w:br/>
      </w:r>
    </w:p>
    <w:p>
      <w:pPr>
        <w:pStyle w:val="Heading1"/>
        <w:spacing w:after="160" w:before="360"/>
      </w:pPr>
      <w:r>
        <w:rPr>
          <w:rFonts w:ascii="Arial" w:cs="Arial" w:eastAsia="Arial" w:hAnsi="Arial"/>
          <w:b/>
          <w:bCs/>
          <w:color w:val="5C3EB5"/>
          <w:sz w:val="30"/>
          <w:szCs w:val="30"/>
        </w:rPr>
        <w:t xml:space="preserve">10. Verantwortlichkeiten &amp; Rollen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26"/>
      </w:tblGrid>
      <w:tr>
        <w:trPr>
          <w:tblHeader/>
        </w:trPr>
        <w:tc>
          <w:tcPr>
            <w:tcW w:type="dxa" w:w="28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Rolle</w:t>
            </w:r>
          </w:p>
        </w:tc>
        <w:tc>
          <w:tcPr>
            <w:tcW w:type="dxa" w:w="25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Person / Funktion</w:t>
            </w:r>
          </w:p>
        </w:tc>
        <w:tc>
          <w:tcPr>
            <w:tcW w:type="dxa" w:w="37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Verantwortungsbereich</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**Technische Projektbegleitung (TPB)**</w:t>
            </w:r>
          </w:p>
        </w:tc>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Stefan</w:t>
            </w:r>
          </w:p>
        </w:tc>
        <w:tc>
          <w:tcPr>
            <w:tcW w:type="dxa" w:w="37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Technische Umsetzung aller Schutzmaßnahmen; Betrieb und Monitoring der Plattform; Pflege des TSK (technischer Teil); Incident-Ersterkennung und -meldung intern</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**Compliance-Beauftragter**</w:t>
            </w:r>
          </w:p>
        </w:tc>
        <w:tc>
          <w:tcPr>
            <w:tcW w:type="dxa" w:w="25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Name]</w:t>
            </w:r>
            <w:r>
              <w:rPr>
                <w:rFonts w:ascii="Arial" w:cs="Arial" w:eastAsia="Arial" w:hAnsi="Arial"/>
                <w:color w:val="1A1A1A"/>
                <w:sz w:val="20"/>
                <w:szCs w:val="20"/>
              </w:rPr>
              <w:t xml:space="preserve"/>
            </w:r>
          </w:p>
        </w:tc>
        <w:tc>
          <w:tcPr>
            <w:tcW w:type="dxa" w:w="37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Regulatorische Rahmenvorgabe; Genehmigung ICT-Risikoregister; Unterzeichnung Abnahme; BaFin-Meldung bei Incidents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**Informationssicherheitsbeauftragter (ISB)**</w:t>
            </w:r>
          </w:p>
        </w:tc>
        <w:tc>
          <w:tcPr>
            <w:tcW w:type="dxa" w:w="25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Name]</w:t>
            </w:r>
            <w:r>
              <w:rPr>
                <w:rFonts w:ascii="Arial" w:cs="Arial" w:eastAsia="Arial" w:hAnsi="Arial"/>
                <w:color w:val="1A1A1A"/>
                <w:sz w:val="20"/>
                <w:szCs w:val="20"/>
              </w:rPr>
              <w:t xml:space="preserve"/>
            </w:r>
          </w:p>
        </w:tc>
        <w:tc>
          <w:tcPr>
            <w:tcW w:type="dxa" w:w="37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Freigabe TSK (technische Sicherheitsmaßnahmen); Schutzbedarfsanalyse; Sicherheitsrichtlinien</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**Datenschutzbeauftragter (DSB)**</w:t>
            </w:r>
          </w:p>
        </w:tc>
        <w:tc>
          <w:tcPr>
            <w:tcW w:type="dxa" w:w="25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Name]</w:t>
            </w:r>
            <w:r>
              <w:rPr>
                <w:rFonts w:ascii="Arial" w:cs="Arial" w:eastAsia="Arial" w:hAnsi="Arial"/>
                <w:color w:val="1A1A1A"/>
                <w:sz w:val="20"/>
                <w:szCs w:val="20"/>
              </w:rPr>
              <w:t xml:space="preserve"/>
            </w:r>
          </w:p>
        </w:tc>
        <w:tc>
          <w:tcPr>
            <w:tcW w:type="dxa" w:w="37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DSGVO-Konformität; Verzeichnis der Verarbeitungstätigkeiten; Bewertung personenbezogener Daten in Bronze/Silver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**IT-Risikomanagement**</w:t>
            </w:r>
          </w:p>
        </w:tc>
        <w:tc>
          <w:tcPr>
            <w:tcW w:type="dxa" w:w="25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Name / Funktion]</w:t>
            </w:r>
            <w:r>
              <w:rPr>
                <w:rFonts w:ascii="Arial" w:cs="Arial" w:eastAsia="Arial" w:hAnsi="Arial"/>
                <w:color w:val="1A1A1A"/>
                <w:sz w:val="20"/>
                <w:szCs w:val="20"/>
              </w:rPr>
              <w:t xml:space="preserve"/>
            </w:r>
          </w:p>
        </w:tc>
        <w:tc>
          <w:tcPr>
            <w:tcW w:type="dxa" w:w="37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Pflege ICT-Risikoregister; Bewertung Drittanbieterrisiken; DORA-Drittanbieter-Register</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**IT-Infrastruktur-Kollege**</w:t>
            </w:r>
          </w:p>
        </w:tc>
        <w:tc>
          <w:tcPr>
            <w:tcW w:type="dxa" w:w="25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Name]</w:t>
            </w:r>
            <w:r>
              <w:rPr>
                <w:rFonts w:ascii="Arial" w:cs="Arial" w:eastAsia="Arial" w:hAnsi="Arial"/>
                <w:color w:val="1A1A1A"/>
                <w:sz w:val="20"/>
                <w:szCs w:val="20"/>
              </w:rPr>
              <w:t xml:space="preserve"/>
            </w:r>
          </w:p>
        </w:tc>
        <w:tc>
          <w:tcPr>
            <w:tcW w:type="dxa" w:w="37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Netzwerk- und Firewall-Konfiguration; SHIR-VM-Betrieb; Koordination mit Mutterkonzern für Infrastruktur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**Mutterkonzern DNA-Team**</w:t>
            </w:r>
          </w:p>
        </w:tc>
        <w:tc>
          <w:tcPr>
            <w:tcW w:type="dxa" w:w="25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Kontakt]</w:t>
            </w:r>
            <w:r>
              <w:rPr>
                <w:rFonts w:ascii="Arial" w:cs="Arial" w:eastAsia="Arial" w:hAnsi="Arial"/>
                <w:color w:val="1A1A1A"/>
                <w:sz w:val="20"/>
                <w:szCs w:val="20"/>
              </w:rPr>
              <w:t xml:space="preserve"/>
            </w:r>
          </w:p>
        </w:tc>
        <w:tc>
          <w:tcPr>
            <w:tcW w:type="dxa" w:w="37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Bereitstellung und Betrieb der Azure-Infrastruktur; Terraform-Provisioning; Lieferung von Infrastruktur-Dokumentation für Drittanbieter-Register</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**Interne Revision**</w:t>
            </w:r>
          </w:p>
        </w:tc>
        <w:tc>
          <w:tcPr>
            <w:tcW w:type="dxa" w:w="2500"/>
            <w:tcBorders>
              <w:top w:val="single" w:color="CCCCCC" w:sz="1"/>
              <w:left w:val="single" w:color="CCCCCC" w:sz="1"/>
              <w:bottom w:val="single" w:color="CCCCCC" w:sz="1"/>
              <w:right w:val="single" w:color="CCCCCC" w:sz="1"/>
            </w:tcBorders>
            <w:shd w:fill="E8F7F2"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
            </w:r>
            <w:r>
              <w:rPr>
                <w:rFonts w:ascii="Arial" w:cs="Arial" w:eastAsia="Arial" w:hAnsi="Arial"/>
                <w:b/>
                <w:bCs/>
                <w:color w:val="0A6E51"/>
                <w:sz w:val="20"/>
                <w:szCs w:val="20"/>
              </w:rPr>
              <w:t xml:space="preserve">[PLACEHOLDER: Name / Funktion]</w:t>
            </w:r>
            <w:r>
              <w:rPr>
                <w:rFonts w:ascii="Arial" w:cs="Arial" w:eastAsia="Arial" w:hAnsi="Arial"/>
                <w:color w:val="1A1A1A"/>
                <w:sz w:val="20"/>
                <w:szCs w:val="20"/>
              </w:rPr>
              <w:t xml:space="preserve"/>
            </w:r>
          </w:p>
        </w:tc>
        <w:tc>
          <w:tcPr>
            <w:tcW w:type="dxa" w:w="37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Unabhängige Prüfung der Kontrollen; Testlauf vor Go-Live; Prüfbericht</w:t>
            </w:r>
          </w:p>
        </w:tc>
      </w:tr>
    </w:tbl>
    <w:p>
      <w:r>
        <w:br/>
      </w:r>
    </w:p>
    <w:p>
      <w:pPr>
        <w:pStyle w:val="Heading1"/>
        <w:spacing w:after="160" w:before="360"/>
      </w:pPr>
      <w:r>
        <w:rPr>
          <w:rFonts w:ascii="Arial" w:cs="Arial" w:eastAsia="Arial" w:hAnsi="Arial"/>
          <w:b/>
          <w:bCs/>
          <w:color w:val="5C3EB5"/>
          <w:sz w:val="30"/>
          <w:szCs w:val="30"/>
        </w:rPr>
        <w:t xml:space="preserve">11. Offene Punkte &amp; Fortschreibung</w:t>
      </w:r>
    </w:p>
    <w:p>
      <w:pPr>
        <w:pStyle w:val="Heading2"/>
        <w:spacing w:after="120" w:before="240"/>
      </w:pPr>
      <w:r>
        <w:rPr>
          <w:rFonts w:ascii="Arial" w:cs="Arial" w:eastAsia="Arial" w:hAnsi="Arial"/>
          <w:b/>
          <w:bCs/>
          <w:color w:val="5C3EB5"/>
          <w:sz w:val="25"/>
          <w:szCs w:val="25"/>
        </w:rPr>
        <w:t xml:space="preserve">11.1 Offene technische Punkte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000"/>
        <w:gridCol w:w="1800"/>
        <w:gridCol w:w="2626"/>
      </w:tblGrid>
      <w:tr>
        <w:trPr>
          <w:tblHeader/>
        </w:trPr>
        <w:tc>
          <w:tcPr>
            <w:tcW w:type="dxa" w:w="4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Punkt</w:t>
            </w:r>
          </w:p>
        </w:tc>
        <w:tc>
          <w:tcPr>
            <w:tcW w:type="dxa" w:w="32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Beschreibung</w:t>
            </w:r>
          </w:p>
        </w:tc>
        <w:tc>
          <w:tcPr>
            <w:tcW w:type="dxa" w:w="10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Priorität</w:t>
            </w:r>
          </w:p>
        </w:tc>
        <w:tc>
          <w:tcPr>
            <w:tcW w:type="dxa" w:w="1800"/>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Verantwortlich</w:t>
            </w:r>
          </w:p>
        </w:tc>
        <w:tc>
          <w:tcPr>
            <w:tcW w:type="dxa" w:w="2626"/>
            <w:tcBorders>
              <w:top w:val="single" w:color="CCCCCC" w:sz="1"/>
              <w:left w:val="single" w:color="CCCCCC" w:sz="1"/>
              <w:bottom w:val="single" w:color="CCCCCC" w:sz="1"/>
              <w:right w:val="single" w:color="CCCCCC" w:sz="1"/>
            </w:tcBorders>
            <w:shd w:fill="5C3EB5" w:val="clear"/>
            <w:tcMar>
              <w:top w:type="dxa" w:w="90"/>
              <w:left w:type="dxa" w:w="150"/>
              <w:bottom w:type="dxa" w:w="90"/>
              <w:right w:type="dxa" w:w="150"/>
            </w:tcMar>
          </w:tcPr>
          <w:p>
            <w:r>
              <w:rPr>
                <w:rFonts w:ascii="Arial" w:cs="Arial" w:eastAsia="Arial" w:hAnsi="Arial"/>
                <w:b/>
                <w:bCs/>
                <w:color w:val="FFFFFF"/>
                <w:sz w:val="20"/>
                <w:szCs w:val="20"/>
              </w:rPr>
              <w:t xml:space="preserve">Zieldatum</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OP-01</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SHIR-VM-Placement: Entscheidung On-Premise vs. Azure VM ausstehend — Auswirkung auf Netzwerkkonfiguration und DORA-Drittanbieter-Abgrenzung</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Stefan + IT-Infrastruktur</w:t>
            </w:r>
          </w:p>
        </w:tc>
        <w:tc>
          <w:tcPr>
            <w:tcW w:type="dxa" w:w="26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[PLACEHOLDER]</w:t>
            </w:r>
          </w:p>
        </w:tc>
      </w:tr>
      <w:tr>
        <w:tc>
          <w:tcPr>
            <w:tcW w:type="dxa" w:w="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OP-02</w:t>
            </w:r>
          </w:p>
        </w:tc>
        <w:tc>
          <w:tcPr>
            <w:tcW w:type="dxa" w:w="3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Oracle 11g Service Name (ORA-12514): Verbindungsproblem zu lösen — Thick Mode validiert, Service Name aus v$parameter zu bestätigen</w:t>
            </w:r>
          </w:p>
        </w:tc>
        <w:tc>
          <w:tcPr>
            <w:tcW w:type="dxa" w:w="1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1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Stefan</w:t>
            </w:r>
          </w:p>
        </w:tc>
        <w:tc>
          <w:tcPr>
            <w:tcW w:type="dxa" w:w="26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[PLACEHOLDER]</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OP-03</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AS/400 / Oracle: Prüfung ob zuverlässige Timestamp-Spalten für inkrementelle Last vorhanden</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MITTEL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Stefan + RPG-Kollege / Leben-Kollege</w:t>
            </w:r>
          </w:p>
        </w:tc>
        <w:tc>
          <w:tcPr>
            <w:tcW w:type="dxa" w:w="26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[PLACEHOLDER]</w:t>
            </w:r>
          </w:p>
        </w:tc>
      </w:tr>
      <w:tr>
        <w:tc>
          <w:tcPr>
            <w:tcW w:type="dxa" w:w="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OP-04</w:t>
            </w:r>
          </w:p>
        </w:tc>
        <w:tc>
          <w:tcPr>
            <w:tcW w:type="dxa" w:w="3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RTO/RPO-Werte: Abstimmung mit Compliance-Beauftragten und Fachabteilung — aktuell nur Richtwerte</w:t>
            </w:r>
          </w:p>
        </w:tc>
        <w:tc>
          <w:tcPr>
            <w:tcW w:type="dxa" w:w="1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1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Stefan + Compliance</w:t>
            </w:r>
          </w:p>
        </w:tc>
        <w:tc>
          <w:tcPr>
            <w:tcW w:type="dxa" w:w="26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[PLACEHOLDER]</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OP-05</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MFA-Pflicht: Bestätigung, ob MFA für alle Nutzer mit Workspace-Zugriff konfiguriert ist</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MITTEL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IT-Infrastruktur / Mutterkonzern</w:t>
            </w:r>
          </w:p>
        </w:tc>
        <w:tc>
          <w:tcPr>
            <w:tcW w:type="dxa" w:w="26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[PLACEHOLDER]</w:t>
            </w:r>
          </w:p>
        </w:tc>
      </w:tr>
      <w:tr>
        <w:tc>
          <w:tcPr>
            <w:tcW w:type="dxa" w:w="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OP-06</w:t>
            </w:r>
          </w:p>
        </w:tc>
        <w:tc>
          <w:tcPr>
            <w:tcW w:type="dxa" w:w="3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Drittanbieter-Verträge: Prüfung ob Verträge mit Mutterkonzern, Microsoft und Databricks DORA-konforme Klauseln enthalten</w:t>
            </w:r>
          </w:p>
        </w:tc>
        <w:tc>
          <w:tcPr>
            <w:tcW w:type="dxa" w:w="1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HOCH</w:t>
            </w:r>
          </w:p>
        </w:tc>
        <w:tc>
          <w:tcPr>
            <w:tcW w:type="dxa" w:w="1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Compliance + IT-Risikomanagement</w:t>
            </w:r>
          </w:p>
        </w:tc>
        <w:tc>
          <w:tcPr>
            <w:tcW w:type="dxa" w:w="26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[PLACEHOLDER]</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OP-07</w:t>
            </w:r>
          </w:p>
        </w:tc>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Sensitivity Labels: Finale Kategorien mit Compliance abstimmen und in Purview konfigurieren</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MITTEL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Stefan + Compliance</w:t>
            </w:r>
          </w:p>
        </w:tc>
        <w:tc>
          <w:tcPr>
            <w:tcW w:type="dxa" w:w="262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[PLACEHOLDER]</w:t>
            </w:r>
          </w:p>
        </w:tc>
      </w:tr>
      <w:tr>
        <w:tc>
          <w:tcPr>
            <w:tcW w:type="dxa" w:w="4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OP-08</w:t>
            </w:r>
          </w:p>
        </w:tc>
        <w:tc>
          <w:tcPr>
            <w:tcW w:type="dxa" w:w="32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VACUUM-Retention: Abstimmung mit Compliance — mindestens 30 Tage für DORA-Audit-Trail empfohlen</w:t>
            </w:r>
          </w:p>
        </w:tc>
        <w:tc>
          <w:tcPr>
            <w:tcW w:type="dxa" w:w="10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MITTEL</w:t>
            </w:r>
          </w:p>
        </w:tc>
        <w:tc>
          <w:tcPr>
            <w:tcW w:type="dxa" w:w="1800"/>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Stefan + Compliance</w:t>
            </w:r>
          </w:p>
        </w:tc>
        <w:tc>
          <w:tcPr>
            <w:tcW w:type="dxa" w:w="2626"/>
            <w:tcBorders>
              <w:top w:val="single" w:color="CCCCCC" w:sz="1"/>
              <w:left w:val="single" w:color="CCCCCC" w:sz="1"/>
              <w:bottom w:val="single" w:color="CCCCCC" w:sz="1"/>
              <w:right w:val="single" w:color="CCCCCC" w:sz="1"/>
            </w:tcBorders>
            <w:shd w:fill="F5F5F5" w:val="clear"/>
            <w:tcMar>
              <w:top w:type="dxa" w:w="90"/>
              <w:left w:type="dxa" w:w="150"/>
              <w:bottom w:type="dxa" w:w="90"/>
              <w:right w:type="dxa" w:w="150"/>
            </w:tcMar>
          </w:tcPr>
          <w:p>
            <w:pPr>
              <w:spacing w:after="40" w:before="40"/>
            </w:pPr>
            <w:r>
              <w:rPr>
                <w:rFonts w:ascii="Arial" w:cs="Arial" w:eastAsia="Arial" w:hAnsi="Arial"/>
                <w:color w:val="1A1A1A"/>
                <w:sz w:val="20"/>
                <w:szCs w:val="20"/>
              </w:rPr>
              <w:t xml:space="preserve">[PLACEHOLDER]</w:t>
            </w:r>
          </w:p>
        </w:tc>
      </w:tr>
    </w:tbl>
    <w:p>
      <w:pPr>
        <w:spacing w:after="0" w:before="100"/>
      </w:pPr>
    </w:p>
    <w:p>
      <w:pPr>
        <w:pStyle w:val="Heading2"/>
        <w:spacing w:after="120" w:before="240"/>
      </w:pPr>
      <w:r>
        <w:rPr>
          <w:rFonts w:ascii="Arial" w:cs="Arial" w:eastAsia="Arial" w:hAnsi="Arial"/>
          <w:b/>
          <w:bCs/>
          <w:color w:val="5C3EB5"/>
          <w:sz w:val="25"/>
          <w:szCs w:val="25"/>
        </w:rPr>
        <w:t xml:space="preserve">11.2 Fortschreibung und Review-Zyklus</w:t>
      </w:r>
    </w:p>
    <w:p>
      <w:pPr>
        <w:pStyle w:val="ListParagraph"/>
        <w:numPr>
          <w:ilvl w:val="0"/>
          <w:numId w:val="2"/>
        </w:numPr>
        <w:spacing w:after="40" w:before="40"/>
      </w:pPr>
      <w:r>
        <w:rPr>
          <w:rFonts w:ascii="Arial" w:cs="Arial" w:eastAsia="Arial" w:hAnsi="Arial"/>
          <w:color w:val="1A1A1A"/>
          <w:sz w:val="22"/>
          <w:szCs w:val="22"/>
        </w:rPr>
        <w:t xml:space="preserve">Dieses TSK ist ein lebendes Dokument und wird bei wesentlichen technischen Änderungen aktualisiert.</w:t>
      </w:r>
    </w:p>
    <w:p>
      <w:pPr>
        <w:pStyle w:val="ListParagraph"/>
        <w:numPr>
          <w:ilvl w:val="0"/>
          <w:numId w:val="2"/>
        </w:numPr>
        <w:spacing w:after="40" w:before="40"/>
      </w:pPr>
      <w:r>
        <w:rPr>
          <w:rFonts w:ascii="Arial" w:cs="Arial" w:eastAsia="Arial" w:hAnsi="Arial"/>
          <w:color w:val="1A1A1A"/>
          <w:sz w:val="22"/>
          <w:szCs w:val="22"/>
        </w:rPr>
        <w:t xml:space="preserve">Empfohlener regulärer Review-Zyklus: jährlich, oder bei wesentlicher Architekturänderung.</w:t>
      </w:r>
    </w:p>
    <w:p>
      <w:pPr>
        <w:pStyle w:val="ListParagraph"/>
        <w:numPr>
          <w:ilvl w:val="0"/>
          <w:numId w:val="2"/>
        </w:numPr>
        <w:spacing w:after="40" w:before="40"/>
      </w:pPr>
      <w:r>
        <w:rPr>
          <w:rFonts w:ascii="Arial" w:cs="Arial" w:eastAsia="Arial" w:hAnsi="Arial"/>
          <w:color w:val="1A1A1A"/>
          <w:sz w:val="22"/>
          <w:szCs w:val="22"/>
        </w:rPr>
        <w:t xml:space="preserve">Monatlicher Status-Check der offenen Punkte mit Compliance während der Aufbauphase.</w:t>
      </w:r>
    </w:p>
    <w:p>
      <w:pPr>
        <w:pStyle w:val="ListParagraph"/>
        <w:numPr>
          <w:ilvl w:val="0"/>
          <w:numId w:val="2"/>
        </w:numPr>
        <w:spacing w:after="40" w:before="40"/>
      </w:pPr>
      <w:r>
        <w:rPr>
          <w:rFonts w:ascii="Arial" w:cs="Arial" w:eastAsia="Arial" w:hAnsi="Arial"/>
          <w:color w:val="1A1A1A"/>
          <w:sz w:val="22"/>
          <w:szCs w:val="22"/>
        </w:rPr>
        <w:t xml:space="preserve">Vor Go-Live (Produktivgang Vorstandsreport): vollständige Abnahme aller offenen Punkte als Voraussetzung.</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8FC" w:val="clear"/>
            <w:tcMar>
              <w:top w:type="dxa" w:w="120"/>
              <w:left w:type="dxa" w:w="180"/>
              <w:bottom w:type="dxa" w:w="120"/>
              <w:right w:type="dxa" w:w="180"/>
            </w:tcMar>
          </w:tcPr>
          <w:p>
            <w:r>
              <w:rPr>
                <w:rFonts w:ascii="Arial" w:cs="Arial" w:eastAsia="Arial" w:hAnsi="Arial"/>
                <w:b/>
                <w:bCs/>
                <w:color w:val="1A1A1A"/>
                <w:sz w:val="22"/>
                <w:szCs w:val="22"/>
              </w:rPr>
              <w:t xml:space="preserve">Empfehlung TPB: </w:t>
            </w:r>
            <w:r>
              <w:rPr>
                <w:rFonts w:ascii="Arial" w:cs="Arial" w:eastAsia="Arial" w:hAnsi="Arial"/>
                <w:color w:val="1A1A1A"/>
                <w:sz w:val="20"/>
                <w:szCs w:val="20"/>
              </w:rPr>
              <w:t xml:space="preserve">Dieses Dokument sollte spätestens 4 Wochen vor dem geplanten Go-Live in vollständig befüllter Form (alle Platzhalter aufgelöst) zur formalen Abnahme eingereicht werden. Eine frühere Einreichung als Entwurf zur Vorabstimmung mit Compliance ist ausdrücklich empfohlen.</w:t>
            </w:r>
          </w:p>
        </w:tc>
      </w:tr>
    </w:tbl>
    <w:p>
      <w:pPr>
        <w:spacing w:after="0" w:before="200"/>
      </w:pPr>
    </w:p>
    <w:p>
      <w:pPr>
        <w:pBdr>
          <w:top w:val="single" w:color="CCCCCC" w:sz="4" w:space="1"/>
        </w:pBdr>
        <w:spacing w:after="0" w:before="120"/>
        <w:jc w:val="center"/>
      </w:pPr>
      <w:r>
        <w:rPr>
          <w:rFonts w:ascii="Arial" w:cs="Arial" w:eastAsia="Arial" w:hAnsi="Arial"/>
          <w:i/>
          <w:iCs/>
          <w:color w:val="555555"/>
          <w:sz w:val="18"/>
          <w:szCs w:val="18"/>
        </w:rPr>
        <w:t xml:space="preserve">Technisches Sicherheitskonzept · dispDB DnA-Plattform · Version 1.0 Entwurf · Alle [PLACEHOLDER]-Felder sind vor formaler Einreichung zu befüllen.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00"/>
      <w:jc w:val="right"/>
    </w:pPr>
    <w:r>
      <w:rPr>
        <w:rFonts w:ascii="Arial" w:cs="Arial" w:eastAsia="Arial" w:hAnsi="Arial"/>
        <w:color w:val="555555"/>
        <w:sz w:val="18"/>
        <w:szCs w:val="18"/>
      </w:rPr>
      <w:t xml:space="preserve">Seite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von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C3EB5" w:sz="6" w:space="1"/>
      </w:pBdr>
      <w:spacing w:after="160" w:before="0"/>
    </w:pPr>
    <w:r>
      <w:rPr>
        <w:rFonts w:ascii="Arial" w:cs="Arial" w:eastAsia="Arial" w:hAnsi="Arial"/>
        <w:b/>
        <w:bCs/>
        <w:color w:val="5C3EB5"/>
        <w:sz w:val="20"/>
        <w:szCs w:val="20"/>
      </w:rPr>
      <w:t xml:space="preserve">Technisches Sicherheitskonzept · dispDB</w:t>
    </w:r>
    <w:r>
      <w:rPr>
        <w:rFonts w:ascii="Arial" w:cs="Arial" w:eastAsia="Arial" w:hAnsi="Arial"/>
        <w:color w:val="555555"/>
        <w:sz w:val="20"/>
        <w:szCs w:val="20"/>
      </w:rPr>
      <w:t xml:space="preserve">   |   Vertraulich — Internes Arbeitsdokument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C3EB5"/>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5C3EB5"/>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2026-06-08T22:37:17.171Z</dcterms:created>
  <dcterms:modified xsi:type="dcterms:W3CDTF">2026-06-08T22:37:17.185Z</dcterms:modified>
</cp:coreProperties>
</file>

<file path=docProps/custom.xml><?xml version="1.0" encoding="utf-8"?>
<Properties xmlns="http://schemas.openxmlformats.org/officeDocument/2006/custom-properties" xmlns:vt="http://schemas.openxmlformats.org/officeDocument/2006/docPropsVTypes"/>
</file>