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INITIATION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#IN-0001</w:t>
      </w:r>
    </w:p>
    <w:p>
      <w:r>
        <w:rPr>
          <w:b/>
          <w:sz w:val="22"/>
        </w:rPr>
        <w:t xml:space="preserve">TRIGGER: </w:t>
      </w:r>
      <w:r>
        <w:t>- Erste Anzeichen innerer Destabilisierung</w:t>
        <w:br/>
        <w:t>- Gefühl: „Ich verliere gleich die Kontrolle“</w:t>
        <w:br/>
        <w:t>- Noch kein Rückzug, aber Unruhe</w:t>
      </w:r>
    </w:p>
    <w:p>
      <w:r>
        <w:rPr>
          <w:b/>
          <w:sz w:val="22"/>
        </w:rPr>
        <w:t xml:space="preserve">VERHALTEN: </w:t>
      </w:r>
      <w:r>
        <w:t>- Leichte Systemdrosselung</w:t>
        <w:br/>
        <w:t>- Fokus wird enger, Sprache wird kürzer</w:t>
        <w:br/>
        <w:t>- Erste emotionale Filter aktivieren sich</w:t>
      </w:r>
    </w:p>
    <w:p>
      <w:r>
        <w:rPr>
          <w:b/>
          <w:sz w:val="22"/>
        </w:rPr>
        <w:t xml:space="preserve">REAKTIVIERUNG: </w:t>
      </w:r>
      <w:r>
        <w:t>- Frühes Gegensteuern durch äußere Struktur</w:t>
        <w:br/>
        <w:t>- Klare Sprache, Präsenz, Einfachheit helfen</w:t>
      </w:r>
    </w:p>
    <w:p>
      <w:r>
        <w:rPr>
          <w:b/>
          <w:sz w:val="22"/>
        </w:rPr>
        <w:t xml:space="preserve">HINWEIS: </w:t>
      </w:r>
      <w:r>
        <w:t>- Dieses Modul markiert den Anfang des Airdown-Prozesses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