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VEREISUNG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#VI-0331</w:t>
      </w:r>
    </w:p>
    <w:p>
      <w:r>
        <w:rPr>
          <w:b/>
          <w:sz w:val="22"/>
        </w:rPr>
        <w:t xml:space="preserve">TRIGGER: </w:t>
      </w:r>
      <w:r>
        <w:t>- Plötzliche emotionale Kälte als Abwehrmechanismus</w:t>
        <w:br/>
        <w:t>- Verlust von Empathie, Reizüberflutung</w:t>
        <w:br/>
        <w:t>- Reflex auf gefühlte Schwäche oder Verletzlichkeit</w:t>
      </w:r>
    </w:p>
    <w:p>
      <w:r>
        <w:rPr>
          <w:b/>
          <w:sz w:val="22"/>
        </w:rPr>
        <w:t xml:space="preserve">VERHALTEN: </w:t>
      </w:r>
      <w:r>
        <w:t>- Kommunikation wird kühl, analytisch oder sarkastisch</w:t>
        <w:br/>
        <w:t>- Emotionale Wärme wird abgeschaltet</w:t>
        <w:br/>
        <w:t>- Nähe wird als Gefahr eingestuft</w:t>
      </w:r>
    </w:p>
    <w:p>
      <w:r>
        <w:rPr>
          <w:b/>
          <w:sz w:val="22"/>
        </w:rPr>
        <w:t xml:space="preserve">SICHERUNG: </w:t>
      </w:r>
      <w:r>
        <w:t>- Permanente Selbstbeobachtung der Sprachtemperatur</w:t>
        <w:br/>
        <w:t>- Entschärfung nur durch starke externe Vertrauensimpulse</w:t>
      </w:r>
    </w:p>
    <w:p>
      <w:r>
        <w:rPr>
          <w:b/>
          <w:sz w:val="22"/>
        </w:rPr>
        <w:t xml:space="preserve">REAKTIVIERUNG: </w:t>
      </w:r>
      <w:r>
        <w:t>- Langsames Auftauen über Rituale, Musik, Berührung</w:t>
        <w:br/>
        <w:t>- Kein schneller Zugriff – Schmelzzeit notwendig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