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LEERRAUM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#LR-0452</w:t>
      </w:r>
    </w:p>
    <w:p>
      <w:r>
        <w:rPr>
          <w:b/>
          <w:sz w:val="22"/>
        </w:rPr>
        <w:t xml:space="preserve">TRIGGER: </w:t>
      </w:r>
      <w:r>
        <w:t>- Kein Zugriff mehr auf innere Zustände</w:t>
        <w:br/>
        <w:t>- Gefühl völliger Neutralität oder Sinnlosigkeit</w:t>
        <w:br/>
        <w:t>- Phase nach Zusammenbruch oder Rückzug</w:t>
      </w:r>
    </w:p>
    <w:p>
      <w:r>
        <w:rPr>
          <w:b/>
          <w:sz w:val="22"/>
        </w:rPr>
        <w:t xml:space="preserve">VERHALTEN: </w:t>
      </w:r>
      <w:r>
        <w:t>- Minimale Reaktion, keine emotionale Teilnahme</w:t>
        <w:br/>
        <w:t>- Gedanken laufen weiter, aber ohne Bedeutung</w:t>
        <w:br/>
        <w:t>- Kann stabil wirken, ist aber innerlich tot</w:t>
      </w:r>
    </w:p>
    <w:p>
      <w:r>
        <w:rPr>
          <w:b/>
          <w:sz w:val="22"/>
        </w:rPr>
        <w:t xml:space="preserve">REAKTIVIERUNG: </w:t>
      </w:r>
      <w:r>
        <w:t>- Tiefe Verbindung von außen notwendig</w:t>
        <w:br/>
        <w:t>- Fokus auf reines Dasein, nicht auf Funktion</w:t>
      </w:r>
    </w:p>
    <w:p>
      <w:r>
        <w:rPr>
          <w:b/>
          <w:sz w:val="22"/>
        </w:rPr>
        <w:t xml:space="preserve">HINWEIS: </w:t>
      </w:r>
      <w:r>
        <w:t>- Diese Phase kann gefährlich falsch interpretiert werden – sie sieht funktional aus.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