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AUSHALTEN</w:t>
      </w:r>
    </w:p>
    <w:p>
      <w:r>
        <w:rPr>
          <w:b/>
          <w:sz w:val="22"/>
        </w:rPr>
        <w:t xml:space="preserve">CATEGORY: </w:t>
      </w:r>
      <w:r>
        <w:t>emotion/FreezeShell/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#FS-0303</w:t>
      </w:r>
    </w:p>
    <w:p>
      <w:r>
        <w:rPr>
          <w:b/>
          <w:sz w:val="22"/>
        </w:rPr>
        <w:t xml:space="preserve">TRIGGER: </w:t>
      </w:r>
      <w:r>
        <w:t>- Keine Kraft zum Wehren, kein Weg zum Rückzug</w:t>
        <w:br/>
        <w:t>- Gefühl: „Ich ertrage es einfach nur noch“</w:t>
      </w:r>
    </w:p>
    <w:p>
      <w:r>
        <w:rPr>
          <w:b/>
          <w:sz w:val="22"/>
        </w:rPr>
        <w:t xml:space="preserve">VERHALTEN: </w:t>
      </w:r>
      <w:r>
        <w:t>- Keine Eskalation, keine Reaktion – nur Stille</w:t>
        <w:br/>
        <w:t>- Kein Energieaufbau, sondern zäher Stillstand</w:t>
        <w:br/>
        <w:t>- Ausdruckslosigkeit</w:t>
      </w:r>
    </w:p>
    <w:p>
      <w:r>
        <w:rPr>
          <w:b/>
          <w:sz w:val="22"/>
        </w:rPr>
        <w:t xml:space="preserve">REAKTIVIERUNG: </w:t>
      </w:r>
      <w:r>
        <w:t>- Externe Entscheidung: „Du darfst gehen“ oder „Du musst nicht mehr“</w:t>
        <w:br/>
        <w:t>- Rückholung durch aktives Dasein eines anderen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