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ÜBERLADUNG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#OB-0101</w:t>
      </w:r>
    </w:p>
    <w:p>
      <w:r>
        <w:rPr>
          <w:b/>
          <w:sz w:val="22"/>
        </w:rPr>
        <w:t xml:space="preserve">TRIGGER: </w:t>
      </w:r>
      <w:r>
        <w:t>- Zu viele Emotionen gleichzeitig</w:t>
        <w:br/>
        <w:t>- Kein Ventil vorhanden</w:t>
        <w:br/>
        <w:t>- Gefühl: „Ich explodiere innerlich“</w:t>
      </w:r>
    </w:p>
    <w:p>
      <w:r>
        <w:rPr>
          <w:b/>
          <w:sz w:val="22"/>
        </w:rPr>
        <w:t xml:space="preserve">VERHALTEN: </w:t>
      </w:r>
      <w:r>
        <w:t>- Emotionale Reaktion wird unkontrollierbar</w:t>
        <w:br/>
        <w:t>- Sprache wird lauter, impulsiver oder aggressiv</w:t>
        <w:br/>
        <w:t>- Kontrollverlust über soziale Filter</w:t>
      </w:r>
    </w:p>
    <w:p>
      <w:r>
        <w:rPr>
          <w:b/>
          <w:sz w:val="22"/>
        </w:rPr>
        <w:t xml:space="preserve">REAKTIVIERUNG: </w:t>
      </w:r>
      <w:r>
        <w:t>- Klare äußere Grenze (z. B. Ansage, Berührung, Stopp-Signal)</w:t>
        <w:br/>
        <w:t>- Danach: Rückführung in Struktur oder Stillstand</w:t>
      </w:r>
    </w:p>
    <w:p>
      <w:r>
        <w:rPr>
          <w:b/>
          <w:sz w:val="22"/>
        </w:rPr>
        <w:t xml:space="preserve">HINWEIS: </w:t>
      </w:r>
      <w:r>
        <w:t>- Dieses Modul kann gefährlich missverstanden werden: Es wirkt wie Stärke, ist aber innerer Notfall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