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FIX_MODULE: IMPULS</w:t>
      </w:r>
    </w:p>
    <w:p>
      <w:r>
        <w:rPr>
          <w:b/>
          <w:sz w:val="22"/>
        </w:rPr>
        <w:t xml:space="preserve">CATEGORY: </w:t>
      </w:r>
      <w:r>
        <w:t>emotion/Overburn/</w:t>
      </w:r>
    </w:p>
    <w:p>
      <w:r>
        <w:rPr>
          <w:b/>
          <w:sz w:val="22"/>
        </w:rPr>
        <w:t xml:space="preserve">VERSION: </w:t>
      </w:r>
      <w:r>
        <w:t>1.0</w:t>
      </w:r>
    </w:p>
    <w:p>
      <w:r>
        <w:rPr>
          <w:b/>
          <w:sz w:val="22"/>
        </w:rPr>
        <w:t xml:space="preserve">CODE: </w:t>
      </w:r>
      <w:r>
        <w:t>#OB-0404</w:t>
      </w:r>
    </w:p>
    <w:p>
      <w:r>
        <w:rPr>
          <w:b/>
          <w:sz w:val="22"/>
        </w:rPr>
        <w:t xml:space="preserve">TRIGGER: </w:t>
      </w:r>
      <w:r>
        <w:t>- Starke Reiz-Reaktions-Kopplung</w:t>
        <w:br/>
        <w:t>- Gefühl: „Ich muss jetzt was tun oder ich raste aus“</w:t>
      </w:r>
    </w:p>
    <w:p>
      <w:r>
        <w:rPr>
          <w:b/>
          <w:sz w:val="22"/>
        </w:rPr>
        <w:t xml:space="preserve">VERHALTEN: </w:t>
      </w:r>
      <w:r>
        <w:t>- Plötzliche Aktionen ohne Durchdenken</w:t>
        <w:br/>
        <w:t>- Affektgesteuerte Entscheidungen</w:t>
        <w:br/>
        <w:t>- Selbst- oder Fremdgefährdung möglich</w:t>
      </w:r>
    </w:p>
    <w:p>
      <w:r>
        <w:rPr>
          <w:b/>
          <w:sz w:val="22"/>
        </w:rPr>
        <w:t xml:space="preserve">REAKTIVIERUNG: </w:t>
      </w:r>
      <w:r>
        <w:t>- Sofortige Unterbrechung (Stopp-Impuls, klare Grenze)</w:t>
        <w:br/>
        <w:t>- Danach: Reflexion bei neutralem Gegenüber</w:t>
      </w:r>
    </w:p>
    <w:p>
      <w:r>
        <w:rPr>
          <w:b/>
          <w:sz w:val="22"/>
        </w:rPr>
        <w:t xml:space="preserve">END_MODULE 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