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8CB39">
      <w:pPr>
        <w:tabs>
          <w:tab w:val="left" w:pos="1110"/>
        </w:tabs>
        <w:spacing w:before="80" w:beforeLines="50" w:after="120" w:line="240" w:lineRule="auto"/>
        <w:jc w:val="center"/>
        <w:rPr>
          <w:rFonts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</w:rPr>
        <w:t>深圳北理莫斯科大学岗位申请表</w:t>
      </w:r>
    </w:p>
    <w:tbl>
      <w:tblPr>
        <w:tblStyle w:val="8"/>
        <w:tblW w:w="4916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368"/>
        <w:gridCol w:w="1032"/>
        <w:gridCol w:w="673"/>
        <w:gridCol w:w="1144"/>
        <w:gridCol w:w="1349"/>
        <w:gridCol w:w="74"/>
        <w:gridCol w:w="1146"/>
        <w:gridCol w:w="1291"/>
        <w:gridCol w:w="79"/>
        <w:gridCol w:w="1507"/>
      </w:tblGrid>
      <w:tr w14:paraId="359D136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577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DFE1D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姓   名</w:t>
            </w:r>
          </w:p>
        </w:tc>
        <w:tc>
          <w:tcPr>
            <w:tcW w:w="874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56B91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樊光瑞</w:t>
            </w:r>
          </w:p>
        </w:tc>
        <w:tc>
          <w:tcPr>
            <w:tcW w:w="615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EA2E9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性   别</w:t>
            </w:r>
          </w:p>
        </w:tc>
        <w:tc>
          <w:tcPr>
            <w:tcW w:w="769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AF25D">
            <w:pPr>
              <w:spacing w:before="0" w:after="0" w:line="252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男</w:t>
            </w:r>
          </w:p>
        </w:tc>
        <w:tc>
          <w:tcPr>
            <w:tcW w:w="616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7B7E6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出生年月</w:t>
            </w:r>
          </w:p>
        </w:tc>
        <w:tc>
          <w:tcPr>
            <w:tcW w:w="693" w:type="pct"/>
            <w:tcBorders>
              <w:right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E062D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1992年7月</w:t>
            </w:r>
          </w:p>
        </w:tc>
        <w:tc>
          <w:tcPr>
            <w:tcW w:w="856" w:type="pct"/>
            <w:gridSpan w:val="2"/>
            <w:vMerge w:val="restart"/>
            <w:tcBorders>
              <w:left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AA30B">
            <w:pPr>
              <w:spacing w:before="0" w:after="0" w:line="252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905510" cy="1268095"/>
                  <wp:effectExtent l="0" t="0" r="8890" b="8255"/>
                  <wp:docPr id="1" name="图片 1" descr="12-蓝底-正面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2-蓝底-正面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AD021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7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5D44B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 xml:space="preserve">国 </w:t>
            </w:r>
            <w:r>
              <w:rPr>
                <w:rFonts w:ascii="Times New Roman" w:hAnsi="Times New Roman" w:eastAsia="Noto Serif CJK SC"/>
                <w:b/>
                <w:sz w:val="20"/>
              </w:rPr>
              <w:t xml:space="preserve">  </w:t>
            </w:r>
            <w:r>
              <w:rPr>
                <w:rFonts w:hint="eastAsia" w:ascii="Times New Roman" w:hAnsi="Times New Roman" w:eastAsia="Noto Serif CJK SC"/>
                <w:b/>
                <w:sz w:val="20"/>
              </w:rPr>
              <w:t>籍</w:t>
            </w:r>
          </w:p>
        </w:tc>
        <w:tc>
          <w:tcPr>
            <w:tcW w:w="874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FE369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中国</w:t>
            </w:r>
          </w:p>
        </w:tc>
        <w:tc>
          <w:tcPr>
            <w:tcW w:w="615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4C96A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民   族</w:t>
            </w:r>
          </w:p>
        </w:tc>
        <w:tc>
          <w:tcPr>
            <w:tcW w:w="769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BA883">
            <w:pPr>
              <w:spacing w:before="0" w:after="0" w:line="252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汉族</w:t>
            </w:r>
          </w:p>
        </w:tc>
        <w:tc>
          <w:tcPr>
            <w:tcW w:w="616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E6121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政治面貌</w:t>
            </w:r>
          </w:p>
        </w:tc>
        <w:tc>
          <w:tcPr>
            <w:tcW w:w="693" w:type="pct"/>
            <w:tcBorders>
              <w:right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74689">
            <w:pPr>
              <w:spacing w:before="0" w:after="0" w:line="25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中共党员</w:t>
            </w:r>
          </w:p>
        </w:tc>
        <w:tc>
          <w:tcPr>
            <w:tcW w:w="856" w:type="pct"/>
            <w:gridSpan w:val="2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1263A89">
            <w:pPr>
              <w:jc w:val="center"/>
            </w:pPr>
          </w:p>
        </w:tc>
      </w:tr>
      <w:tr w14:paraId="72A00D1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7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1EB9F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婚姻状况</w:t>
            </w:r>
          </w:p>
        </w:tc>
        <w:tc>
          <w:tcPr>
            <w:tcW w:w="874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03C0B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请补充</w:t>
            </w:r>
          </w:p>
        </w:tc>
        <w:tc>
          <w:tcPr>
            <w:tcW w:w="615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713B1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最高毕业</w:t>
            </w:r>
          </w:p>
          <w:p w14:paraId="79DB15AC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院校</w:t>
            </w:r>
          </w:p>
        </w:tc>
        <w:tc>
          <w:tcPr>
            <w:tcW w:w="769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5C7A7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马来亚大学</w:t>
            </w:r>
          </w:p>
          <w:p w14:paraId="61A2DAA5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（预计2026年6月博士毕业）</w:t>
            </w:r>
          </w:p>
        </w:tc>
        <w:tc>
          <w:tcPr>
            <w:tcW w:w="616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3B328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最高学历/学位</w:t>
            </w:r>
          </w:p>
        </w:tc>
        <w:tc>
          <w:tcPr>
            <w:tcW w:w="693" w:type="pct"/>
            <w:tcBorders>
              <w:right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FECDC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博士研究生 / 博士</w:t>
            </w:r>
          </w:p>
          <w:p w14:paraId="23CDBCBB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（预计2026年6月）</w:t>
            </w:r>
          </w:p>
        </w:tc>
        <w:tc>
          <w:tcPr>
            <w:tcW w:w="856" w:type="pct"/>
            <w:gridSpan w:val="2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DABFCEB">
            <w:pPr>
              <w:jc w:val="right"/>
              <w:rPr>
                <w:sz w:val="18"/>
                <w:szCs w:val="18"/>
              </w:rPr>
            </w:pPr>
          </w:p>
        </w:tc>
      </w:tr>
      <w:tr w14:paraId="2371268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7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E7B06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外语水平</w:t>
            </w:r>
          </w:p>
        </w:tc>
        <w:tc>
          <w:tcPr>
            <w:tcW w:w="874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08553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英语：熟练进行英文论文写作、国际审稿与学术交流</w:t>
            </w:r>
          </w:p>
        </w:tc>
        <w:tc>
          <w:tcPr>
            <w:tcW w:w="615" w:type="pct"/>
            <w:tcBorders>
              <w:right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180E4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拟聘岗位</w:t>
            </w:r>
          </w:p>
        </w:tc>
        <w:tc>
          <w:tcPr>
            <w:tcW w:w="769" w:type="pct"/>
            <w:gridSpan w:val="2"/>
            <w:tcBorders>
              <w:left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CDE6E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人工智能研究院教学科研岗教师</w:t>
            </w:r>
          </w:p>
          <w:p w14:paraId="6D8584A1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6"/>
              </w:rPr>
              <w:t>（副教授/高级讲师；人本智能与社会计算方向）</w:t>
            </w:r>
          </w:p>
        </w:tc>
        <w:tc>
          <w:tcPr>
            <w:tcW w:w="616" w:type="pct"/>
            <w:tcBorders>
              <w:right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6C06F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预计到岗</w:t>
            </w:r>
          </w:p>
          <w:p w14:paraId="3F0F7579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时间</w:t>
            </w:r>
          </w:p>
        </w:tc>
        <w:tc>
          <w:tcPr>
            <w:tcW w:w="693" w:type="pc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AC728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2026年7月以后</w:t>
            </w:r>
          </w:p>
          <w:p w14:paraId="2159D360">
            <w:pPr>
              <w:spacing w:before="0" w:after="0" w:line="252" w:lineRule="auto"/>
              <w:jc w:val="center"/>
            </w:pPr>
          </w:p>
        </w:tc>
        <w:tc>
          <w:tcPr>
            <w:tcW w:w="856" w:type="pct"/>
            <w:gridSpan w:val="2"/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90A9CB2">
            <w:pPr>
              <w:jc w:val="center"/>
            </w:pPr>
          </w:p>
        </w:tc>
      </w:tr>
      <w:tr w14:paraId="252B6D6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6" w:type="pct"/>
            <w:gridSpan w:val="3"/>
            <w:vMerge w:val="restar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FCCF1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原（现）单位及人事部门联系方式</w:t>
            </w:r>
          </w:p>
        </w:tc>
        <w:tc>
          <w:tcPr>
            <w:tcW w:w="2364" w:type="pct"/>
            <w:gridSpan w:val="5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C1D51">
            <w:pPr>
              <w:spacing w:before="0" w:after="0" w:line="252" w:lineRule="auto"/>
              <w:jc w:val="both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单位名称：马来亚大学</w:t>
            </w:r>
          </w:p>
        </w:tc>
        <w:tc>
          <w:tcPr>
            <w:tcW w:w="1549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F772E"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联系人：</w:t>
            </w:r>
            <w:r>
              <w:rPr>
                <w:rFonts w:hint="eastAsia" w:ascii="Times New Roman" w:hAnsi="Times New Roman" w:eastAsia="Noto Serif CJK SC"/>
                <w:b w:val="0"/>
                <w:sz w:val="18"/>
              </w:rPr>
              <w:t>AZNUL QALID BIN MD SABRI</w:t>
            </w:r>
          </w:p>
        </w:tc>
      </w:tr>
      <w:tr w14:paraId="44EFB43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6" w:type="pct"/>
            <w:gridSpan w:val="3"/>
            <w:vMerge w:val="continue"/>
            <w:shd w:val="clear" w:color="auto" w:fill="auto"/>
            <w:vAlign w:val="center"/>
          </w:tcPr>
          <w:p w14:paraId="02FEDEBB">
            <w:pPr>
              <w:jc w:val="center"/>
              <w:rPr>
                <w:b/>
              </w:rPr>
            </w:pPr>
          </w:p>
        </w:tc>
        <w:tc>
          <w:tcPr>
            <w:tcW w:w="2364" w:type="pct"/>
            <w:gridSpan w:val="5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6F783"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E-mail：</w:t>
            </w:r>
            <w:r>
              <w:rPr>
                <w:rFonts w:hint="eastAsia" w:ascii="Times New Roman" w:hAnsi="Times New Roman" w:eastAsia="Noto Serif CJK SC"/>
                <w:b w:val="0"/>
                <w:sz w:val="18"/>
              </w:rPr>
              <w:t>aznulqalid@um.edu.my</w:t>
            </w:r>
          </w:p>
        </w:tc>
        <w:tc>
          <w:tcPr>
            <w:tcW w:w="1549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E7443"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电话：</w:t>
            </w:r>
          </w:p>
        </w:tc>
      </w:tr>
      <w:tr w14:paraId="582D08E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6" w:type="pct"/>
            <w:gridSpan w:val="3"/>
            <w:vMerge w:val="continue"/>
            <w:shd w:val="clear" w:color="auto" w:fill="auto"/>
            <w:vAlign w:val="center"/>
          </w:tcPr>
          <w:p w14:paraId="66D8935B">
            <w:pPr>
              <w:jc w:val="center"/>
              <w:rPr>
                <w:b/>
              </w:rPr>
            </w:pPr>
          </w:p>
        </w:tc>
        <w:tc>
          <w:tcPr>
            <w:tcW w:w="2364" w:type="pct"/>
            <w:gridSpan w:val="5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3C94A"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通信地址：</w:t>
            </w:r>
            <w:r>
              <w:rPr>
                <w:rFonts w:hint="eastAsia" w:ascii="Times New Roman" w:hAnsi="Times New Roman" w:eastAsia="Noto Serif CJK SC"/>
                <w:b w:val="0"/>
                <w:sz w:val="18"/>
              </w:rPr>
              <w:t>Universiti Malaya, 50603 Kuala Lumpur, Wilayah Persekutuan Kuala Lumpur, Malaysia</w:t>
            </w:r>
          </w:p>
        </w:tc>
        <w:tc>
          <w:tcPr>
            <w:tcW w:w="1549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B33D1"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邮编：</w:t>
            </w:r>
            <w:r>
              <w:rPr>
                <w:rFonts w:hint="eastAsia" w:ascii="Times New Roman" w:hAnsi="Times New Roman" w:eastAsia="Noto Serif CJK SC"/>
                <w:b w:val="0"/>
                <w:sz w:val="18"/>
              </w:rPr>
              <w:t xml:space="preserve">50603 </w:t>
            </w:r>
          </w:p>
        </w:tc>
      </w:tr>
      <w:tr w14:paraId="667DA2E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6" w:type="pct"/>
            <w:gridSpan w:val="3"/>
            <w:vMerge w:val="restar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4DFFD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个人联系方式</w:t>
            </w:r>
          </w:p>
        </w:tc>
        <w:tc>
          <w:tcPr>
            <w:tcW w:w="2364" w:type="pct"/>
            <w:gridSpan w:val="5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48572"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E-mail：gerryfan2022@gmail.com</w:t>
            </w:r>
          </w:p>
        </w:tc>
        <w:tc>
          <w:tcPr>
            <w:tcW w:w="1549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C77BF"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电话：+86 13387574446</w:t>
            </w:r>
          </w:p>
        </w:tc>
      </w:tr>
      <w:tr w14:paraId="6F99E70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086" w:type="pct"/>
            <w:gridSpan w:val="3"/>
            <w:vMerge w:val="continue"/>
            <w:shd w:val="clear" w:color="auto" w:fill="auto"/>
            <w:vAlign w:val="center"/>
          </w:tcPr>
          <w:p w14:paraId="603D02E3">
            <w:pPr>
              <w:jc w:val="center"/>
            </w:pPr>
          </w:p>
        </w:tc>
        <w:tc>
          <w:tcPr>
            <w:tcW w:w="2364" w:type="pct"/>
            <w:gridSpan w:val="5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93361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通信地址：山西太原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万柏林区学府壹号院1-2-1702</w:t>
            </w:r>
          </w:p>
        </w:tc>
        <w:tc>
          <w:tcPr>
            <w:tcW w:w="1549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9DCD5">
            <w:pPr>
              <w:spacing w:before="0" w:after="0" w:line="25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邮编：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032200</w:t>
            </w:r>
          </w:p>
        </w:tc>
      </w:tr>
      <w:tr w14:paraId="40D2257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vMerge w:val="restar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E5826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学习经历</w:t>
            </w:r>
          </w:p>
          <w:p w14:paraId="6609AAB0">
            <w:pPr>
              <w:spacing w:before="0" w:after="0" w:line="252" w:lineRule="auto"/>
              <w:jc w:val="center"/>
              <w:rPr>
                <w:rFonts w:ascii="楷体_GB2312" w:eastAsia="楷体_GB2312"/>
              </w:rPr>
            </w:pPr>
            <w:r>
              <w:rPr>
                <w:rFonts w:hint="eastAsia" w:ascii="Times New Roman" w:hAnsi="Times New Roman" w:eastAsia="Noto Serif CJK SC"/>
                <w:sz w:val="20"/>
                <w:szCs w:val="18"/>
              </w:rPr>
              <w:t>(从大学起)</w:t>
            </w:r>
          </w:p>
        </w:tc>
        <w:tc>
          <w:tcPr>
            <w:tcW w:w="692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ED116">
            <w:pPr>
              <w:spacing w:before="0" w:after="0" w:line="252" w:lineRule="auto"/>
              <w:jc w:val="center"/>
              <w:rPr>
                <w:b/>
                <w:szCs w:val="21"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>起止时间</w:t>
            </w:r>
          </w:p>
        </w:tc>
        <w:tc>
          <w:tcPr>
            <w:tcW w:w="1703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C37F2">
            <w:pPr>
              <w:spacing w:before="0" w:after="0" w:line="252" w:lineRule="auto"/>
              <w:jc w:val="center"/>
              <w:rPr>
                <w:b/>
                <w:szCs w:val="21"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>学校名称</w:t>
            </w:r>
          </w:p>
        </w:tc>
        <w:tc>
          <w:tcPr>
            <w:tcW w:w="1397" w:type="pct"/>
            <w:gridSpan w:val="4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43779">
            <w:pPr>
              <w:spacing w:before="0" w:after="0" w:line="252" w:lineRule="auto"/>
              <w:jc w:val="center"/>
              <w:rPr>
                <w:b/>
                <w:szCs w:val="21"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>专  业</w:t>
            </w:r>
          </w:p>
        </w:tc>
        <w:tc>
          <w:tcPr>
            <w:tcW w:w="813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AA455">
            <w:pPr>
              <w:spacing w:before="0" w:after="0" w:line="252" w:lineRule="auto"/>
              <w:jc w:val="center"/>
              <w:rPr>
                <w:b/>
                <w:szCs w:val="21"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>获学位情况</w:t>
            </w:r>
          </w:p>
        </w:tc>
      </w:tr>
      <w:tr w14:paraId="618D939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vMerge w:val="continue"/>
            <w:shd w:val="clear" w:color="auto" w:fill="auto"/>
            <w:vAlign w:val="center"/>
          </w:tcPr>
          <w:p w14:paraId="1D002171">
            <w:pPr>
              <w:jc w:val="center"/>
            </w:pPr>
          </w:p>
        </w:tc>
        <w:tc>
          <w:tcPr>
            <w:tcW w:w="692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C12C8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2022.09–2026.06</w:t>
            </w:r>
          </w:p>
        </w:tc>
        <w:tc>
          <w:tcPr>
            <w:tcW w:w="1703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7F98D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马来亚大学</w:t>
            </w:r>
          </w:p>
          <w:p w14:paraId="203B35AA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Universiti Malaya</w:t>
            </w:r>
          </w:p>
        </w:tc>
        <w:tc>
          <w:tcPr>
            <w:tcW w:w="1397" w:type="pct"/>
            <w:gridSpan w:val="4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BF0E2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计算机科学</w:t>
            </w:r>
          </w:p>
        </w:tc>
        <w:tc>
          <w:tcPr>
            <w:tcW w:w="813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7944C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博士</w:t>
            </w:r>
          </w:p>
          <w:p w14:paraId="436B3D2C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（预计2026.06）</w:t>
            </w:r>
          </w:p>
        </w:tc>
      </w:tr>
      <w:tr w14:paraId="6DDD7C7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vMerge w:val="continue"/>
            <w:shd w:val="clear" w:color="auto" w:fill="auto"/>
            <w:vAlign w:val="center"/>
          </w:tcPr>
          <w:p w14:paraId="4594A66F">
            <w:pPr>
              <w:jc w:val="center"/>
            </w:pPr>
          </w:p>
        </w:tc>
        <w:tc>
          <w:tcPr>
            <w:tcW w:w="692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81C49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2014.09–2018.02</w:t>
            </w:r>
          </w:p>
        </w:tc>
        <w:tc>
          <w:tcPr>
            <w:tcW w:w="1703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AA7B2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上海交通大学</w:t>
            </w:r>
          </w:p>
          <w:p w14:paraId="5CDC8001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软件学院</w:t>
            </w:r>
          </w:p>
        </w:tc>
        <w:tc>
          <w:tcPr>
            <w:tcW w:w="1397" w:type="pct"/>
            <w:gridSpan w:val="4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8F117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软件工程</w:t>
            </w:r>
          </w:p>
        </w:tc>
        <w:tc>
          <w:tcPr>
            <w:tcW w:w="813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A49C8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硕士</w:t>
            </w:r>
          </w:p>
        </w:tc>
      </w:tr>
      <w:tr w14:paraId="02CBF30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vMerge w:val="continue"/>
            <w:shd w:val="clear" w:color="auto" w:fill="auto"/>
            <w:vAlign w:val="center"/>
          </w:tcPr>
          <w:p w14:paraId="33834946">
            <w:pPr>
              <w:jc w:val="center"/>
            </w:pPr>
          </w:p>
        </w:tc>
        <w:tc>
          <w:tcPr>
            <w:tcW w:w="692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7DC0F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2010.09–2014.06</w:t>
            </w:r>
          </w:p>
        </w:tc>
        <w:tc>
          <w:tcPr>
            <w:tcW w:w="1703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18CC6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华中科技大学</w:t>
            </w:r>
          </w:p>
          <w:p w14:paraId="28BFA405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软件学院</w:t>
            </w:r>
          </w:p>
        </w:tc>
        <w:tc>
          <w:tcPr>
            <w:tcW w:w="1397" w:type="pct"/>
            <w:gridSpan w:val="4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D0F02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数字媒体技术</w:t>
            </w:r>
          </w:p>
        </w:tc>
        <w:tc>
          <w:tcPr>
            <w:tcW w:w="813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EB83F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学士</w:t>
            </w:r>
          </w:p>
        </w:tc>
      </w:tr>
      <w:tr w14:paraId="2269342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vMerge w:val="restar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6F33A">
            <w:pPr>
              <w:spacing w:before="0" w:after="0" w:line="252" w:lineRule="auto"/>
              <w:jc w:val="center"/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工作经历</w:t>
            </w:r>
            <w:r>
              <w:rPr>
                <w:rFonts w:hint="eastAsia" w:ascii="Times New Roman" w:hAnsi="Times New Roman" w:eastAsia="Noto Serif CJK SC"/>
                <w:sz w:val="20"/>
                <w:szCs w:val="18"/>
              </w:rPr>
              <w:t>(时间连续)</w:t>
            </w:r>
          </w:p>
        </w:tc>
        <w:tc>
          <w:tcPr>
            <w:tcW w:w="692" w:type="pct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4FD4C">
            <w:pPr>
              <w:spacing w:before="0" w:after="0" w:line="252" w:lineRule="auto"/>
              <w:jc w:val="center"/>
              <w:rPr>
                <w:b/>
                <w:szCs w:val="21"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>起止时间</w:t>
            </w:r>
          </w:p>
        </w:tc>
        <w:tc>
          <w:tcPr>
            <w:tcW w:w="1703" w:type="pct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D3EAB">
            <w:pPr>
              <w:spacing w:before="0" w:after="0" w:line="252" w:lineRule="auto"/>
              <w:jc w:val="center"/>
              <w:rPr>
                <w:b/>
                <w:szCs w:val="21"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>工作单位</w:t>
            </w:r>
          </w:p>
        </w:tc>
        <w:tc>
          <w:tcPr>
            <w:tcW w:w="2211" w:type="pct"/>
            <w:gridSpan w:val="5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A3FC7">
            <w:pPr>
              <w:spacing w:before="0" w:after="0" w:line="252" w:lineRule="auto"/>
              <w:jc w:val="center"/>
              <w:rPr>
                <w:b/>
                <w:szCs w:val="21"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 xml:space="preserve">职 </w:t>
            </w:r>
            <w:r>
              <w:rPr>
                <w:rFonts w:ascii="Times New Roman" w:hAnsi="Times New Roman" w:eastAsia="Noto Serif CJK SC"/>
                <w:b/>
                <w:sz w:val="20"/>
                <w:szCs w:val="21"/>
              </w:rPr>
              <w:t xml:space="preserve"> </w:t>
            </w: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 xml:space="preserve">务、职 </w:t>
            </w:r>
            <w:r>
              <w:rPr>
                <w:rFonts w:ascii="Times New Roman" w:hAnsi="Times New Roman" w:eastAsia="Noto Serif CJK SC"/>
                <w:b/>
                <w:sz w:val="20"/>
                <w:szCs w:val="21"/>
              </w:rPr>
              <w:t xml:space="preserve"> </w:t>
            </w:r>
            <w:r>
              <w:rPr>
                <w:rFonts w:hint="eastAsia" w:ascii="Times New Roman" w:hAnsi="Times New Roman" w:eastAsia="Noto Serif CJK SC"/>
                <w:b/>
                <w:sz w:val="20"/>
                <w:szCs w:val="21"/>
              </w:rPr>
              <w:t>称</w:t>
            </w:r>
          </w:p>
        </w:tc>
      </w:tr>
      <w:tr w14:paraId="1B41919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vMerge w:val="continue"/>
            <w:shd w:val="clear" w:color="auto" w:fill="auto"/>
            <w:vAlign w:val="center"/>
          </w:tcPr>
          <w:p w14:paraId="49C755E1">
            <w:pPr>
              <w:jc w:val="center"/>
            </w:pPr>
          </w:p>
        </w:tc>
        <w:tc>
          <w:tcPr>
            <w:tcW w:w="692" w:type="pct"/>
            <w:gridSpan w:val="2"/>
            <w:tcBorders>
              <w:bottom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6D0C3">
            <w:pPr>
              <w:spacing w:before="0" w:after="0" w:line="252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2018.06–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2022.09</w:t>
            </w:r>
          </w:p>
        </w:tc>
        <w:tc>
          <w:tcPr>
            <w:tcW w:w="1703" w:type="pct"/>
            <w:gridSpan w:val="3"/>
            <w:tcBorders>
              <w:bottom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4D8B7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太原科技大学</w:t>
            </w:r>
          </w:p>
          <w:p w14:paraId="259D379A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计算机科学与技术学院</w:t>
            </w:r>
          </w:p>
        </w:tc>
        <w:tc>
          <w:tcPr>
            <w:tcW w:w="2211" w:type="pct"/>
            <w:gridSpan w:val="5"/>
            <w:tcBorders>
              <w:bottom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24471"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8"/>
              </w:rPr>
              <w:t>讲师</w:t>
            </w:r>
          </w:p>
        </w:tc>
      </w:tr>
      <w:tr w14:paraId="07B9A55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vMerge w:val="continue"/>
            <w:shd w:val="clear" w:color="auto" w:fill="auto"/>
            <w:vAlign w:val="center"/>
          </w:tcPr>
          <w:p w14:paraId="6966D2D0">
            <w:pPr>
              <w:jc w:val="center"/>
            </w:pPr>
          </w:p>
        </w:tc>
        <w:tc>
          <w:tcPr>
            <w:tcW w:w="692" w:type="pct"/>
            <w:gridSpan w:val="2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81F79">
            <w:pPr>
              <w:spacing w:before="0" w:after="0" w:line="252" w:lineRule="auto"/>
              <w:jc w:val="center"/>
            </w:pPr>
          </w:p>
        </w:tc>
        <w:tc>
          <w:tcPr>
            <w:tcW w:w="1703" w:type="pct"/>
            <w:gridSpan w:val="3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B8F9F">
            <w:pPr>
              <w:spacing w:before="0" w:after="0" w:line="252" w:lineRule="auto"/>
              <w:jc w:val="center"/>
            </w:pPr>
          </w:p>
        </w:tc>
        <w:tc>
          <w:tcPr>
            <w:tcW w:w="2211" w:type="pct"/>
            <w:gridSpan w:val="5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079B9">
            <w:pPr>
              <w:spacing w:before="0" w:after="0" w:line="252" w:lineRule="auto"/>
              <w:jc w:val="center"/>
            </w:pPr>
          </w:p>
        </w:tc>
      </w:tr>
      <w:tr w14:paraId="1593116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vMerge w:val="continue"/>
            <w:shd w:val="clear" w:color="auto" w:fill="auto"/>
            <w:vAlign w:val="center"/>
          </w:tcPr>
          <w:p w14:paraId="72A382F5">
            <w:pPr>
              <w:jc w:val="center"/>
            </w:pPr>
          </w:p>
        </w:tc>
        <w:tc>
          <w:tcPr>
            <w:tcW w:w="692" w:type="pct"/>
            <w:gridSpan w:val="2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ACD48">
            <w:pPr>
              <w:spacing w:before="0" w:after="0" w:line="252" w:lineRule="auto"/>
              <w:jc w:val="center"/>
            </w:pPr>
          </w:p>
        </w:tc>
        <w:tc>
          <w:tcPr>
            <w:tcW w:w="1703" w:type="pct"/>
            <w:gridSpan w:val="3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18C51">
            <w:pPr>
              <w:spacing w:before="0" w:after="0" w:line="252" w:lineRule="auto"/>
              <w:jc w:val="center"/>
            </w:pPr>
          </w:p>
        </w:tc>
        <w:tc>
          <w:tcPr>
            <w:tcW w:w="2211" w:type="pct"/>
            <w:gridSpan w:val="5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DDCEE">
            <w:pPr>
              <w:spacing w:before="0" w:after="0" w:line="252" w:lineRule="auto"/>
              <w:jc w:val="center"/>
            </w:pPr>
          </w:p>
        </w:tc>
      </w:tr>
      <w:tr w14:paraId="4F9C1E0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E71D5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教学经验</w:t>
            </w:r>
          </w:p>
        </w:tc>
        <w:tc>
          <w:tcPr>
            <w:tcW w:w="4605" w:type="pct"/>
            <w:gridSpan w:val="10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74B572ED">
            <w:pPr>
              <w:spacing w:before="0" w:after="0" w:line="245" w:lineRule="auto"/>
              <w:jc w:val="left"/>
              <w:rPr>
                <w:rFonts w:ascii="Times New Roman" w:hAnsi="Times New Roman" w:eastAsia="Noto Serif CJK SC"/>
                <w:b w:val="0"/>
                <w:sz w:val="17"/>
              </w:rPr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主讲本科课程：Java Web开发、Oracle数据库管理技术、物联网RFID原理与技术、计算机图形学、计算机动画原理等。</w:t>
            </w:r>
          </w:p>
          <w:p w14:paraId="09E633FE">
            <w:pPr>
              <w:spacing w:before="0" w:after="0" w:line="245" w:lineRule="auto"/>
              <w:jc w:val="left"/>
              <w:rPr>
                <w:rFonts w:ascii="Times New Roman" w:hAnsi="Times New Roman" w:eastAsia="Noto Serif CJK SC"/>
                <w:b w:val="0"/>
                <w:sz w:val="17"/>
              </w:rPr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教学获奖：太原科技大学高校教师教学创新大赛一等奖、山西省高校教师教学创新大赛省三等奖。</w:t>
            </w:r>
          </w:p>
          <w:p w14:paraId="41FC026C">
            <w:pPr>
              <w:spacing w:before="0" w:after="0" w:line="245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具备课程建设、课堂部署实验与AI编程教育研究经验，可承担Human-Centered AI、人机交互、社会计算、机器学习/AI应用、数据库与Web开发等课程。</w:t>
            </w:r>
          </w:p>
        </w:tc>
      </w:tr>
      <w:tr w14:paraId="12C05BC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EB278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承担科研项目情况</w:t>
            </w:r>
          </w:p>
        </w:tc>
        <w:tc>
          <w:tcPr>
            <w:tcW w:w="4605" w:type="pct"/>
            <w:gridSpan w:val="10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06A8C8F7">
            <w:pPr>
              <w:spacing w:before="0" w:after="0" w:line="245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 山西省基础研究计划面上项目（参与）：基于介尺度的大规模复杂系统多智能体并行仿真模型研究，项目编号：202203021221145。</w:t>
            </w:r>
          </w:p>
          <w:p w14:paraId="27DDCFE4">
            <w:pPr>
              <w:spacing w:before="0" w:after="0" w:line="245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 山西省高等学校教学改革创新项目（参与）：深化本科教学评价机制改革——AI赋能的课堂质量评价与实践探索，项目编号：J20250145。</w:t>
            </w:r>
          </w:p>
        </w:tc>
      </w:tr>
      <w:tr w14:paraId="73DFEE8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7788F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代表性成果</w:t>
            </w:r>
          </w:p>
          <w:p w14:paraId="543B00B9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（获奖/论文/专著/专利等）</w:t>
            </w:r>
          </w:p>
        </w:tc>
        <w:tc>
          <w:tcPr>
            <w:tcW w:w="4605" w:type="pct"/>
            <w:gridSpan w:val="10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37E0CC69">
            <w:pPr>
              <w:spacing w:before="0" w:after="0" w:line="245" w:lineRule="auto"/>
              <w:jc w:val="left"/>
              <w:rPr>
                <w:rFonts w:ascii="Times New Roman" w:hAnsi="Times New Roman" w:eastAsia="Noto Serif CJK SC"/>
                <w:b w:val="0"/>
                <w:sz w:val="17"/>
              </w:rPr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以第一作者/通讯作者发表或录用ACL、ICML、CHI、FSE、WWW、AAAI、IJCAI等CCF A类会议论文9篇，Q1/中科院1区Top期刊论文4篇。代表成果包括：ACL 2026 Feeling Rules in Language Models；ICML 2026 Graph-Preference Learning；CHI 2026 AI辅助浪漫沟通研究；CHI 2026 When Help Hurts（ACM CHI 2026 Honourable Mention Award）；AAAI 2026在线心理健康社区研究；International Journal of STEM Education 2025论文（ESI高被引）。</w:t>
            </w:r>
          </w:p>
          <w:p w14:paraId="153FEC90">
            <w:pPr>
              <w:spacing w:before="0" w:after="0" w:line="245" w:lineRule="auto"/>
              <w:jc w:val="left"/>
              <w:rPr>
                <w:rFonts w:hint="eastAsia"/>
                <w:b w:val="0"/>
                <w:sz w:val="17"/>
                <w:lang w:val="en-US" w:eastAsia="zh-CN"/>
              </w:rPr>
            </w:pPr>
            <w:r>
              <w:rPr>
                <w:rFonts w:hint="eastAsia"/>
                <w:b w:val="0"/>
                <w:sz w:val="17"/>
                <w:lang w:val="en-US" w:eastAsia="zh-CN"/>
              </w:rPr>
              <w:t>详细论文列表：</w:t>
            </w:r>
          </w:p>
          <w:p w14:paraId="6773D926">
            <w:pPr>
              <w:pStyle w:val="18"/>
              <w:rPr>
                <w:b/>
                <w:bCs/>
                <w:sz w:val="17"/>
                <w:szCs w:val="17"/>
                <w:u w:val="single"/>
              </w:rPr>
            </w:pPr>
            <w:r>
              <w:rPr>
                <w:b/>
                <w:bCs/>
                <w:sz w:val="17"/>
                <w:szCs w:val="17"/>
                <w:u w:val="single"/>
              </w:rPr>
              <w:t>CCF A 类会议论文（9 篇，均为唯一一作或通讯）</w:t>
            </w:r>
          </w:p>
          <w:p w14:paraId="4C922CB3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</w:t>
            </w:r>
            <w:r>
              <w:rPr>
                <w:sz w:val="17"/>
                <w:szCs w:val="17"/>
              </w:rPr>
              <w:t xml:space="preserve">, Liu, D., Sabri, A.Q.M., Zhang, R., &amp; Pan, L. (2026). Feeling Rules in Language Models: Mapping Norms of Emotional Appropriateness Across Roles, Institutions, and Intensity. In </w:t>
            </w:r>
            <w:r>
              <w:rPr>
                <w:i/>
                <w:iCs/>
                <w:sz w:val="17"/>
                <w:szCs w:val="17"/>
              </w:rPr>
              <w:t>Proceedings of the 64th Annual Meeting of the Association for Computational Linguistics (ACL 2026)</w:t>
            </w:r>
            <w:r>
              <w:rPr>
                <w:sz w:val="17"/>
                <w:szCs w:val="17"/>
              </w:rPr>
              <w:t>. ACL. （唯一一作，CCF A）</w:t>
            </w:r>
          </w:p>
          <w:p w14:paraId="03D17ADD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G.,</w:t>
            </w:r>
            <w:r>
              <w:rPr>
                <w:sz w:val="17"/>
                <w:szCs w:val="17"/>
              </w:rPr>
              <w:t xml:space="preserve"> Liu, D., Sabri, A.Q.M., &amp; Pan, L. (2026). Graph-Preference Learning: Debiasing Network-Sampled Human Feedback for Target Welfare Estimation. In </w:t>
            </w:r>
            <w:r>
              <w:rPr>
                <w:i/>
                <w:iCs/>
                <w:sz w:val="17"/>
                <w:szCs w:val="17"/>
              </w:rPr>
              <w:t>Proceedings of the 43rd International Conference on Machine Learning (ICML 2026)</w:t>
            </w:r>
            <w:r>
              <w:rPr>
                <w:sz w:val="17"/>
                <w:szCs w:val="17"/>
              </w:rPr>
              <w:t>. PMLR. （唯一一作，CCF A）</w:t>
            </w:r>
          </w:p>
          <w:p w14:paraId="67011312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</w:t>
            </w:r>
            <w:r>
              <w:rPr>
                <w:b/>
                <w:bCs/>
                <w:i/>
                <w:iCs/>
                <w:sz w:val="17"/>
                <w:szCs w:val="17"/>
              </w:rPr>
              <w:t>,</w:t>
            </w:r>
            <w:r>
              <w:rPr>
                <w:i/>
                <w:iCs/>
                <w:sz w:val="17"/>
                <w:szCs w:val="17"/>
              </w:rPr>
              <w:t xml:space="preserve"> Liu D., et al. Is It Still You? Attributing Authorship and Authenticity in AI-Assisted Romantic Communication. CHI 2026. （唯一一作，CCF A）</w:t>
            </w:r>
          </w:p>
          <w:p w14:paraId="73BC2F1F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G.,</w:t>
            </w:r>
            <w:r>
              <w:rPr>
                <w:sz w:val="17"/>
                <w:szCs w:val="17"/>
              </w:rPr>
              <w:t xml:space="preserve"> Liu D., Lihu Pan. When Help Hurts: Verification Load and Fatigue with AI Coding Assistants. CHI 2026. （唯一一作，CCF A；ACM CHI 2026 最佳论文提名）</w:t>
            </w:r>
          </w:p>
          <w:p w14:paraId="335C73D0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G.,</w:t>
            </w:r>
            <w:r>
              <w:rPr>
                <w:i/>
                <w:iCs/>
                <w:sz w:val="17"/>
                <w:szCs w:val="17"/>
              </w:rPr>
              <w:t xml:space="preserve"> Liu D., et al. Co-Adaptive Eco-Nudging: A Privacy-Preserving Contextual Bandit with User-Taught Preferences. CHI 2026. （唯一一作，CCF A）</w:t>
            </w:r>
          </w:p>
          <w:p w14:paraId="291BAC74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G.,</w:t>
            </w:r>
            <w:r>
              <w:rPr>
                <w:sz w:val="17"/>
                <w:szCs w:val="17"/>
              </w:rPr>
              <w:t xml:space="preserve"> Liu D., Pan L., Zhang R., Guo Q. Multi-LLM Persona Generation for Virtual Focus Groups in Software Engineering: A Controlled, Multi-Domain Study of Emotional Requirements Elicitation. FSE 2026. （唯一一作，CCF A）</w:t>
            </w:r>
          </w:p>
          <w:p w14:paraId="1F7C8270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Liu D., Sabri A.Q.M., Pan L. </w:t>
            </w:r>
            <w:r>
              <w:rPr>
                <w:b/>
                <w:bCs/>
                <w:sz w:val="17"/>
                <w:szCs w:val="17"/>
              </w:rPr>
              <w:t>Fan, G.,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i/>
                <w:iCs/>
                <w:sz w:val="17"/>
                <w:szCs w:val="17"/>
              </w:rPr>
              <w:t>, Audit-of-Audits for the Web: Bayesian Meta-Evaluation that Yields Interval-Valued, Threshold-Aligned Fairness Claims. WWW 2026. （唯一通讯，CCF A）</w:t>
            </w:r>
          </w:p>
          <w:p w14:paraId="1D03A68B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G.,</w:t>
            </w:r>
            <w:r>
              <w:rPr>
                <w:sz w:val="17"/>
                <w:szCs w:val="17"/>
              </w:rPr>
              <w:t xml:space="preserve">  Liu D., Pan L. Mind the Gap: Predicting, Explaining and Reducing Time-to-First-Comment (Reply Gap) in Online Mental-Health Communities. AAAI 2026. （唯一一作，CCF A）</w:t>
            </w:r>
          </w:p>
          <w:p w14:paraId="77D1B18D">
            <w:pPr>
              <w:numPr>
                <w:ilvl w:val="0"/>
                <w:numId w:val="1"/>
              </w:numPr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</w:t>
            </w:r>
            <w:r>
              <w:rPr>
                <w:sz w:val="17"/>
                <w:szCs w:val="17"/>
              </w:rPr>
              <w:t>*, Liu D., Pan L., Huang Y. Creative Momentum Transfer: How Timing and Labeling of AI Suggestions Shape Iterative Human Ideation. IJCAI 2025. (唯一一作，CCF A (2025))</w:t>
            </w:r>
            <w:r>
              <w:rPr>
                <w:sz w:val="17"/>
                <w:szCs w:val="17"/>
              </w:rPr>
              <w:br w:type="textWrapping"/>
            </w:r>
          </w:p>
          <w:p w14:paraId="515D64A8">
            <w:pPr>
              <w:pStyle w:val="18"/>
              <w:rPr>
                <w:rFonts w:ascii="Times New Roman" w:hAnsi="Times New Roman" w:eastAsia="宋体" w:cs="Times New Roman"/>
                <w:b/>
                <w:bCs/>
                <w:sz w:val="17"/>
                <w:szCs w:val="17"/>
                <w:u w:val="single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7"/>
                <w:szCs w:val="17"/>
                <w:u w:val="single"/>
              </w:rPr>
              <w:t>中科院 1 区 Top 期刊论文（4 篇，第一作者或通讯作者）</w:t>
            </w:r>
          </w:p>
          <w:p w14:paraId="2D35BBDB">
            <w:pPr>
              <w:numPr>
                <w:ilvl w:val="0"/>
                <w:numId w:val="2"/>
              </w:numPr>
              <w:ind w:left="240" w:leftChars="0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</w:t>
            </w:r>
            <w:r>
              <w:rPr>
                <w:b/>
                <w:bCs/>
                <w:i/>
                <w:iCs/>
                <w:sz w:val="17"/>
                <w:szCs w:val="17"/>
              </w:rPr>
              <w:t>,</w:t>
            </w:r>
            <w:r>
              <w:rPr>
                <w:i/>
                <w:iCs/>
                <w:sz w:val="17"/>
                <w:szCs w:val="17"/>
              </w:rPr>
              <w:t xml:space="preserve"> Liu D., Zhang R., Pan L. The impact of AI-assisted pair programming on student motivation, programming anxiety, collaborative learning, and programming performance: a comparative study with traditional pair programming and individual approaches. International Journal of STEM Education, 2025, 12(1): 16. （唯一一作，中科院 1 区 Top，IF ≈ 8.0，ESI 高被引论文）（【103】cites）</w:t>
            </w:r>
          </w:p>
          <w:p w14:paraId="1603203B">
            <w:pPr>
              <w:numPr>
                <w:ilvl w:val="0"/>
                <w:numId w:val="2"/>
              </w:numPr>
              <w:ind w:left="240" w:leftChars="0"/>
              <w:rPr>
                <w:sz w:val="17"/>
                <w:szCs w:val="17"/>
              </w:rPr>
            </w:pPr>
            <w:r>
              <w:rPr>
                <w:b/>
                <w:bCs/>
                <w:i/>
                <w:iCs/>
                <w:sz w:val="17"/>
                <w:szCs w:val="17"/>
              </w:rPr>
              <w:t>Fan, G.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Sabri A.Q.M., Rahman S.S.A., Pan L. DynaKey-GNN: An efficient dynamic key-node multi-graph neural network for spatio-temporal traffic flow forecasting. Engineering Applications of Artificial Intelligence, 2025, 159: 111757. （唯一一作，中科院 1 区 Top，IF ≈ 8.0）（【4】cites）</w:t>
            </w:r>
          </w:p>
          <w:p w14:paraId="38AC04CB">
            <w:pPr>
              <w:numPr>
                <w:ilvl w:val="0"/>
                <w:numId w:val="2"/>
              </w:numPr>
              <w:ind w:left="240" w:leftChars="0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Fan, G.</w:t>
            </w:r>
            <w:r>
              <w:rPr>
                <w:i/>
                <w:iCs/>
                <w:sz w:val="17"/>
                <w:szCs w:val="17"/>
              </w:rPr>
              <w:t>, Sabri A.Q.M., Rahman S.S.A., Pan L., Rahardja S. Emerging Trends in Graph Neural Networks for Traffic Flow Prediction: A Survey. Archives of Computational Methods in Engineering, 2025: 1–45. （唯一一作，中科院 1 区 Top，IF ≈ 12.1）（【11】cites）</w:t>
            </w:r>
          </w:p>
          <w:p w14:paraId="3DE6F771">
            <w:pPr>
              <w:numPr>
                <w:ilvl w:val="0"/>
                <w:numId w:val="2"/>
              </w:numPr>
              <w:ind w:left="240" w:leftChars="0"/>
              <w:rPr>
                <w:rFonts w:hint="eastAsia" w:ascii="仿宋_GB2312" w:hAnsi="仿宋_GB2312" w:eastAsia="仿宋_GB2312" w:cs="仿宋_GB2312"/>
                <w:sz w:val="17"/>
                <w:szCs w:val="17"/>
              </w:rPr>
            </w:pPr>
            <w:r>
              <w:rPr>
                <w:i/>
                <w:iCs/>
                <w:sz w:val="17"/>
                <w:szCs w:val="17"/>
              </w:rPr>
              <w:t xml:space="preserve">Liu, D., </w:t>
            </w:r>
            <w:r>
              <w:rPr>
                <w:b/>
                <w:bCs/>
                <w:i/>
                <w:iCs/>
                <w:sz w:val="17"/>
                <w:szCs w:val="17"/>
              </w:rPr>
              <w:t>Fan, G.</w:t>
            </w:r>
            <w:r>
              <w:rPr>
                <w:sz w:val="17"/>
                <w:szCs w:val="17"/>
              </w:rPr>
              <w:t xml:space="preserve"> &amp; Pan, L. Tool, tutor, or crutch?: A grounded theory of cognitive scaffolding and offloading in AI-assisted programming education. International Journal of STEM Education, 13, 10 (2026). </w:t>
            </w:r>
            <w:r>
              <w:rPr>
                <w:sz w:val="17"/>
                <w:szCs w:val="17"/>
              </w:rPr>
              <w:fldChar w:fldCharType="begin"/>
            </w:r>
            <w:r>
              <w:rPr>
                <w:sz w:val="17"/>
                <w:szCs w:val="17"/>
              </w:rPr>
              <w:instrText xml:space="preserve"> HYPERLINK "https://doi.org/10.1186/s40594-025-00592-w" \h </w:instrText>
            </w:r>
            <w:r>
              <w:rPr>
                <w:sz w:val="17"/>
                <w:szCs w:val="17"/>
              </w:rPr>
              <w:fldChar w:fldCharType="separate"/>
            </w:r>
            <w:r>
              <w:rPr>
                <w:rStyle w:val="13"/>
                <w:sz w:val="17"/>
                <w:szCs w:val="17"/>
              </w:rPr>
              <w:t>https://doi.org/10.1186/s40594-025-00592-w</w:t>
            </w:r>
            <w:r>
              <w:rPr>
                <w:rStyle w:val="13"/>
                <w:sz w:val="17"/>
                <w:szCs w:val="17"/>
              </w:rPr>
              <w:fldChar w:fldCharType="end"/>
            </w:r>
            <w:r>
              <w:rPr>
                <w:sz w:val="17"/>
                <w:szCs w:val="17"/>
              </w:rPr>
              <w:t xml:space="preserve"> （唯一通讯，中科院 1 区 Top，IF ≈ 8.0）</w:t>
            </w:r>
          </w:p>
          <w:p w14:paraId="05EA935A">
            <w:pPr>
              <w:spacing w:before="0" w:after="0" w:line="245" w:lineRule="auto"/>
              <w:jc w:val="left"/>
              <w:rPr>
                <w:rFonts w:hint="eastAsia"/>
                <w:b w:val="0"/>
                <w:sz w:val="17"/>
                <w:lang w:val="en-US" w:eastAsia="zh-CN"/>
              </w:rPr>
            </w:pPr>
          </w:p>
        </w:tc>
      </w:tr>
      <w:tr w14:paraId="147F112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95" w:type="pct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A6912">
            <w:pPr>
              <w:spacing w:before="0" w:after="0" w:line="252" w:lineRule="auto"/>
              <w:jc w:val="center"/>
              <w:rPr>
                <w:b/>
              </w:rPr>
            </w:pPr>
            <w:r>
              <w:rPr>
                <w:rFonts w:hint="eastAsia" w:ascii="Times New Roman" w:hAnsi="Times New Roman" w:eastAsia="Noto Serif CJK SC"/>
                <w:b/>
                <w:sz w:val="20"/>
              </w:rPr>
              <w:t>其他情况</w:t>
            </w:r>
          </w:p>
        </w:tc>
        <w:tc>
          <w:tcPr>
            <w:tcW w:w="4605" w:type="pct"/>
            <w:gridSpan w:val="10"/>
            <w:tcBorders>
              <w:top w:val="single" w:color="auto" w:sz="4" w:space="0"/>
            </w:tcBorders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24DE9D0C">
            <w:pPr>
              <w:spacing w:before="0" w:after="0" w:line="245" w:lineRule="auto"/>
              <w:jc w:val="left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学术服务：WWW 2026（Web4Good）程序委员会成员；CHI 2026、ICML 2026及Engineering Applications of Artificial Intelligence、International Journal of STEM Education、Information, Communication &amp; Society等期刊审稿人。研究关键词：Human-Centered AI、HCI、LLMs、GNN、AI教育、社会计算、算法公平、隐私与信任。个人主页：https://gerryfan0706.github.io；ORCID：0009-0001-8570-1636。</w:t>
            </w:r>
          </w:p>
        </w:tc>
      </w:tr>
      <w:tr w14:paraId="431F5B5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11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top"/>
          </w:tcPr>
          <w:p w14:paraId="4F7A794A">
            <w:pPr>
              <w:spacing w:after="20" w:line="240" w:lineRule="auto"/>
            </w:pPr>
            <w:r>
              <w:rPr>
                <w:rFonts w:ascii="Times New Roman" w:hAnsi="Times New Roman" w:eastAsia="Noto Sans CJK SC"/>
                <w:b/>
                <w:sz w:val="21"/>
              </w:rPr>
              <w:t>应聘申请书：</w:t>
            </w:r>
            <w:r>
              <w:rPr>
                <w:rFonts w:ascii="Times New Roman" w:hAnsi="Times New Roman" w:eastAsia="Noto Serif CJK SC"/>
                <w:b w:val="0"/>
                <w:sz w:val="18"/>
              </w:rPr>
              <w:t>（申请人能力、业务素质、主要业绩、自身优势及对应聘岗位的认识等）</w:t>
            </w:r>
          </w:p>
          <w:p w14:paraId="081A4E23">
            <w:pPr>
              <w:spacing w:after="20" w:line="240" w:lineRule="auto"/>
              <w:ind w:firstLine="4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本人拟申请深圳北理莫斯科大学人工智能研究院教学科研岗教师（副教授/高级讲师）岗位，研究方向为人本智能与社会计算，重点对接数字经济与社会计算研究中心，并可与情感智能与普适计算研究中心在情感智能、AI+心理健康、人机交互与普适智能系统等方向开展交叉合作。本人现为马来亚大学计算机科学博士研究生，预计2026年6月获得博士学位；自2018年起任太原科技大学计算机科学与技术学院讲师，具备高校教学、课程建设和真实课堂研究部署经验。</w:t>
            </w:r>
          </w:p>
          <w:p w14:paraId="0C4E86F0">
            <w:pPr>
              <w:spacing w:after="20" w:line="240" w:lineRule="auto"/>
              <w:ind w:firstLine="4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本人长期围绕Human-Centered AI、人机交互、社会计算、AI教育、AI介导沟通、算法公平、偏好学习、隐私与信任开展研究，关注AI系统进入真实用户与社会场景后对学习、沟通、情绪表达、信任判断、隐私选择、群体反馈和社会福利产生的影响。目前已以第一作者/通讯作者发表或录用ACL、ICML、CHI、FSE、WWW、AAAI、IJCAI等CCF A类会议论文9篇，以及中科院1区Top期刊论文4篇，其中1篇获ACM CHI 2026 Honourable Mention Award，1篇获评ESI高被引论文。</w:t>
            </w:r>
          </w:p>
          <w:p w14:paraId="71E28D58">
            <w:pPr>
              <w:spacing w:after="20" w:line="240" w:lineRule="auto"/>
              <w:ind w:firstLine="42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本人理解贵院教学科研岗教师不仅需要持续产出高水平研究成果，也需要承担核心课程和前沿课程教学、指导研究生、推动交叉学科合作和服务研究院平台建设。若有幸加入贵院，本人拟发展“面向情感智能、社会计算与计算心理健康的人本智能系统研究”方向，结合HCI实证研究、LLM、图神经网络、偏好学习、隐私保护和算法公平方法，建设具有国际发表潜力和应用转化空间的研究主线，并承担人机交互、Human-Centered AI、社会计算、可信AI评估、AI编程教育等课程。</w:t>
            </w:r>
          </w:p>
        </w:tc>
      </w:tr>
      <w:tr w14:paraId="455F366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000" w:type="pct"/>
            <w:gridSpan w:val="11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7A242"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eastAsia="Noto Serif CJK SC"/>
                <w:sz w:val="21"/>
              </w:rPr>
              <w:t>以上所填内容全部属实，如与事实不符，本人愿承担一切责任。</w:t>
            </w:r>
          </w:p>
          <w:p w14:paraId="429730E3">
            <w:pPr>
              <w:spacing w:before="0" w:after="0" w:line="264" w:lineRule="auto"/>
              <w:jc w:val="right"/>
            </w:pPr>
            <w:r>
              <w:rPr>
                <w:rFonts w:ascii="Times New Roman" w:hAnsi="Times New Roman" w:eastAsia="Noto Serif CJK SC"/>
                <w:sz w:val="21"/>
              </w:rPr>
              <w:t>申请人签字：樊光瑞（提交前请手签/确认）</w:t>
            </w:r>
          </w:p>
          <w:p w14:paraId="55B1DDD6">
            <w:pPr>
              <w:spacing w:before="0" w:after="0" w:line="264" w:lineRule="auto"/>
              <w:jc w:val="right"/>
            </w:pPr>
            <w:r>
              <w:rPr>
                <w:rFonts w:ascii="Times New Roman" w:hAnsi="Times New Roman" w:eastAsia="Noto Serif CJK SC"/>
                <w:sz w:val="21"/>
              </w:rPr>
              <w:t>2026年5月8日</w:t>
            </w:r>
          </w:p>
          <w:p w14:paraId="3F3CC8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Noto Serif CJK SC"/>
                <w:sz w:val="17"/>
              </w:rPr>
              <w:t>注：本表可附页。</w:t>
            </w:r>
          </w:p>
        </w:tc>
      </w:tr>
    </w:tbl>
    <w:p w14:paraId="6563BC98">
      <w:bookmarkStart w:id="0" w:name="_GoBack"/>
      <w:bookmarkEnd w:id="0"/>
    </w:p>
    <w:sectPr>
      <w:footerReference r:id="rId3" w:type="default"/>
      <w:footerReference r:id="rId4" w:type="even"/>
      <w:pgSz w:w="11907" w:h="16840"/>
      <w:pgMar w:top="1304" w:right="1247" w:bottom="964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947A4">
    <w:pPr>
      <w:pStyle w:val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  <w:p w14:paraId="65634BCD">
    <w:pPr>
      <w:pStyle w:val="5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D1104">
    <w:pPr>
      <w:pStyle w:val="5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2A626D3"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2B34D6FC"/>
    <w:multiLevelType w:val="singleLevel"/>
    <w:tmpl w:val="2B34D6F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46F"/>
    <w:rsid w:val="00003E05"/>
    <w:rsid w:val="00012611"/>
    <w:rsid w:val="00014A5E"/>
    <w:rsid w:val="0001652D"/>
    <w:rsid w:val="0004184E"/>
    <w:rsid w:val="000466E4"/>
    <w:rsid w:val="00077403"/>
    <w:rsid w:val="00082F12"/>
    <w:rsid w:val="00084EA8"/>
    <w:rsid w:val="00090CD9"/>
    <w:rsid w:val="0009591B"/>
    <w:rsid w:val="00096F01"/>
    <w:rsid w:val="000B6009"/>
    <w:rsid w:val="000E1B08"/>
    <w:rsid w:val="00131393"/>
    <w:rsid w:val="00132929"/>
    <w:rsid w:val="001337DB"/>
    <w:rsid w:val="001360AD"/>
    <w:rsid w:val="00140E0A"/>
    <w:rsid w:val="00145FDB"/>
    <w:rsid w:val="0014738B"/>
    <w:rsid w:val="00147E15"/>
    <w:rsid w:val="00162C30"/>
    <w:rsid w:val="001678DB"/>
    <w:rsid w:val="00173342"/>
    <w:rsid w:val="00174B59"/>
    <w:rsid w:val="00182C1B"/>
    <w:rsid w:val="0018695F"/>
    <w:rsid w:val="00186DCF"/>
    <w:rsid w:val="001939B9"/>
    <w:rsid w:val="00197624"/>
    <w:rsid w:val="001C67F5"/>
    <w:rsid w:val="001D1646"/>
    <w:rsid w:val="001F0198"/>
    <w:rsid w:val="001F1C02"/>
    <w:rsid w:val="001F6AB2"/>
    <w:rsid w:val="00200DB7"/>
    <w:rsid w:val="002055C8"/>
    <w:rsid w:val="002160A7"/>
    <w:rsid w:val="00220C0D"/>
    <w:rsid w:val="00242560"/>
    <w:rsid w:val="00252599"/>
    <w:rsid w:val="00252D06"/>
    <w:rsid w:val="00266926"/>
    <w:rsid w:val="002726F5"/>
    <w:rsid w:val="00273AFF"/>
    <w:rsid w:val="00276FD8"/>
    <w:rsid w:val="00284FF1"/>
    <w:rsid w:val="00294D26"/>
    <w:rsid w:val="00295023"/>
    <w:rsid w:val="002A4C80"/>
    <w:rsid w:val="002C2DC9"/>
    <w:rsid w:val="002F2830"/>
    <w:rsid w:val="00302E54"/>
    <w:rsid w:val="00312D6F"/>
    <w:rsid w:val="00313222"/>
    <w:rsid w:val="0034109B"/>
    <w:rsid w:val="00344816"/>
    <w:rsid w:val="00356D32"/>
    <w:rsid w:val="003645F1"/>
    <w:rsid w:val="00374C96"/>
    <w:rsid w:val="00376100"/>
    <w:rsid w:val="0037653A"/>
    <w:rsid w:val="003A5C6F"/>
    <w:rsid w:val="003C1030"/>
    <w:rsid w:val="003C302E"/>
    <w:rsid w:val="003E5295"/>
    <w:rsid w:val="003E7AAD"/>
    <w:rsid w:val="003F32DB"/>
    <w:rsid w:val="003F3D91"/>
    <w:rsid w:val="004072BD"/>
    <w:rsid w:val="00411826"/>
    <w:rsid w:val="00415C65"/>
    <w:rsid w:val="00423337"/>
    <w:rsid w:val="004262AC"/>
    <w:rsid w:val="0044670A"/>
    <w:rsid w:val="00446D27"/>
    <w:rsid w:val="00482611"/>
    <w:rsid w:val="004A084B"/>
    <w:rsid w:val="004A5A7D"/>
    <w:rsid w:val="004A7854"/>
    <w:rsid w:val="004B02C3"/>
    <w:rsid w:val="004B7C47"/>
    <w:rsid w:val="004C0E85"/>
    <w:rsid w:val="004E3E5F"/>
    <w:rsid w:val="004E66F6"/>
    <w:rsid w:val="004F4028"/>
    <w:rsid w:val="004F5904"/>
    <w:rsid w:val="004F741F"/>
    <w:rsid w:val="00504E47"/>
    <w:rsid w:val="005059EE"/>
    <w:rsid w:val="00515646"/>
    <w:rsid w:val="00516F8F"/>
    <w:rsid w:val="0053310A"/>
    <w:rsid w:val="00536627"/>
    <w:rsid w:val="00541B30"/>
    <w:rsid w:val="00545286"/>
    <w:rsid w:val="00553E0B"/>
    <w:rsid w:val="00571CA7"/>
    <w:rsid w:val="00573554"/>
    <w:rsid w:val="005822DA"/>
    <w:rsid w:val="00586AA2"/>
    <w:rsid w:val="0059178B"/>
    <w:rsid w:val="005A3489"/>
    <w:rsid w:val="005A7B32"/>
    <w:rsid w:val="005B74CF"/>
    <w:rsid w:val="005D31C4"/>
    <w:rsid w:val="005E160C"/>
    <w:rsid w:val="005F18F1"/>
    <w:rsid w:val="005F42A9"/>
    <w:rsid w:val="00603659"/>
    <w:rsid w:val="00605B9F"/>
    <w:rsid w:val="00610258"/>
    <w:rsid w:val="006164FA"/>
    <w:rsid w:val="00621560"/>
    <w:rsid w:val="006340D5"/>
    <w:rsid w:val="00653AF6"/>
    <w:rsid w:val="00672F2F"/>
    <w:rsid w:val="00674F71"/>
    <w:rsid w:val="00677C65"/>
    <w:rsid w:val="006970C7"/>
    <w:rsid w:val="006A6BA9"/>
    <w:rsid w:val="006C10C7"/>
    <w:rsid w:val="006C408B"/>
    <w:rsid w:val="006C5055"/>
    <w:rsid w:val="006D5BBA"/>
    <w:rsid w:val="007170A8"/>
    <w:rsid w:val="00720CB4"/>
    <w:rsid w:val="00725DE7"/>
    <w:rsid w:val="0072708E"/>
    <w:rsid w:val="00733669"/>
    <w:rsid w:val="007448F8"/>
    <w:rsid w:val="00750DE1"/>
    <w:rsid w:val="00755F44"/>
    <w:rsid w:val="00770F04"/>
    <w:rsid w:val="00777887"/>
    <w:rsid w:val="00784F78"/>
    <w:rsid w:val="007A084F"/>
    <w:rsid w:val="007A53D5"/>
    <w:rsid w:val="007B68C2"/>
    <w:rsid w:val="007C0711"/>
    <w:rsid w:val="007C3839"/>
    <w:rsid w:val="007D624A"/>
    <w:rsid w:val="007D62F3"/>
    <w:rsid w:val="007D6DE1"/>
    <w:rsid w:val="007E4FA4"/>
    <w:rsid w:val="007F1E01"/>
    <w:rsid w:val="007F1E11"/>
    <w:rsid w:val="007F3904"/>
    <w:rsid w:val="007F3E20"/>
    <w:rsid w:val="008151E8"/>
    <w:rsid w:val="00832C10"/>
    <w:rsid w:val="00850292"/>
    <w:rsid w:val="008508E5"/>
    <w:rsid w:val="008649F6"/>
    <w:rsid w:val="0086654A"/>
    <w:rsid w:val="00872D99"/>
    <w:rsid w:val="0087633D"/>
    <w:rsid w:val="008836FD"/>
    <w:rsid w:val="008C4498"/>
    <w:rsid w:val="00920F27"/>
    <w:rsid w:val="009222D7"/>
    <w:rsid w:val="009233CF"/>
    <w:rsid w:val="00931CC1"/>
    <w:rsid w:val="00946613"/>
    <w:rsid w:val="0095558E"/>
    <w:rsid w:val="0095735D"/>
    <w:rsid w:val="00971AB3"/>
    <w:rsid w:val="00974FEB"/>
    <w:rsid w:val="009765B7"/>
    <w:rsid w:val="00992E6F"/>
    <w:rsid w:val="00993C55"/>
    <w:rsid w:val="00994C42"/>
    <w:rsid w:val="009A0C2E"/>
    <w:rsid w:val="009A29D0"/>
    <w:rsid w:val="009C6FD4"/>
    <w:rsid w:val="009D2F96"/>
    <w:rsid w:val="009D5B9D"/>
    <w:rsid w:val="009E0B0D"/>
    <w:rsid w:val="009E389B"/>
    <w:rsid w:val="009F4C86"/>
    <w:rsid w:val="00A24D93"/>
    <w:rsid w:val="00A41EB7"/>
    <w:rsid w:val="00A42E88"/>
    <w:rsid w:val="00A43F2B"/>
    <w:rsid w:val="00A501FC"/>
    <w:rsid w:val="00A62375"/>
    <w:rsid w:val="00A6450E"/>
    <w:rsid w:val="00A74589"/>
    <w:rsid w:val="00A8591D"/>
    <w:rsid w:val="00AB4BD8"/>
    <w:rsid w:val="00AC6AEC"/>
    <w:rsid w:val="00AD7B6C"/>
    <w:rsid w:val="00B13540"/>
    <w:rsid w:val="00B17CCC"/>
    <w:rsid w:val="00B25E60"/>
    <w:rsid w:val="00B34712"/>
    <w:rsid w:val="00B42D65"/>
    <w:rsid w:val="00B507D4"/>
    <w:rsid w:val="00B63229"/>
    <w:rsid w:val="00B704BE"/>
    <w:rsid w:val="00B72267"/>
    <w:rsid w:val="00B74E7A"/>
    <w:rsid w:val="00B853F4"/>
    <w:rsid w:val="00B9446F"/>
    <w:rsid w:val="00B9653C"/>
    <w:rsid w:val="00B9748A"/>
    <w:rsid w:val="00BB1A3D"/>
    <w:rsid w:val="00BB42AA"/>
    <w:rsid w:val="00BD2CB5"/>
    <w:rsid w:val="00BE3296"/>
    <w:rsid w:val="00BE5EB1"/>
    <w:rsid w:val="00BF1977"/>
    <w:rsid w:val="00BF2AAD"/>
    <w:rsid w:val="00BF7144"/>
    <w:rsid w:val="00C17F7B"/>
    <w:rsid w:val="00C26FD9"/>
    <w:rsid w:val="00C40DED"/>
    <w:rsid w:val="00C548BD"/>
    <w:rsid w:val="00C57A4A"/>
    <w:rsid w:val="00C6378B"/>
    <w:rsid w:val="00C65CF3"/>
    <w:rsid w:val="00C725B2"/>
    <w:rsid w:val="00C7614A"/>
    <w:rsid w:val="00C8169E"/>
    <w:rsid w:val="00CB06A2"/>
    <w:rsid w:val="00CC5051"/>
    <w:rsid w:val="00CD6E95"/>
    <w:rsid w:val="00CE5C55"/>
    <w:rsid w:val="00CF33F7"/>
    <w:rsid w:val="00CF59A8"/>
    <w:rsid w:val="00D03F45"/>
    <w:rsid w:val="00D0643A"/>
    <w:rsid w:val="00D06CED"/>
    <w:rsid w:val="00D06EE6"/>
    <w:rsid w:val="00D20A5F"/>
    <w:rsid w:val="00D34DDD"/>
    <w:rsid w:val="00D5597E"/>
    <w:rsid w:val="00D565A8"/>
    <w:rsid w:val="00D638FC"/>
    <w:rsid w:val="00D66ECC"/>
    <w:rsid w:val="00D7044D"/>
    <w:rsid w:val="00DB5A4D"/>
    <w:rsid w:val="00DC130F"/>
    <w:rsid w:val="00DD3995"/>
    <w:rsid w:val="00DD5745"/>
    <w:rsid w:val="00DE220B"/>
    <w:rsid w:val="00DE2AB5"/>
    <w:rsid w:val="00E02C68"/>
    <w:rsid w:val="00E158FC"/>
    <w:rsid w:val="00E34ECB"/>
    <w:rsid w:val="00E420C8"/>
    <w:rsid w:val="00E71F81"/>
    <w:rsid w:val="00E762C1"/>
    <w:rsid w:val="00E76F8A"/>
    <w:rsid w:val="00E8469F"/>
    <w:rsid w:val="00E86150"/>
    <w:rsid w:val="00EB25AF"/>
    <w:rsid w:val="00ED2CA3"/>
    <w:rsid w:val="00EE6B2E"/>
    <w:rsid w:val="00EE7C73"/>
    <w:rsid w:val="00EE7FE4"/>
    <w:rsid w:val="00EF11A0"/>
    <w:rsid w:val="00EF31C9"/>
    <w:rsid w:val="00EF392A"/>
    <w:rsid w:val="00EF5619"/>
    <w:rsid w:val="00F119B2"/>
    <w:rsid w:val="00F13770"/>
    <w:rsid w:val="00F27CD8"/>
    <w:rsid w:val="00F37BFC"/>
    <w:rsid w:val="00F60C94"/>
    <w:rsid w:val="00F7383F"/>
    <w:rsid w:val="00FA4520"/>
    <w:rsid w:val="00FE23DC"/>
    <w:rsid w:val="00FE7361"/>
    <w:rsid w:val="00FF164B"/>
    <w:rsid w:val="1F42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nhideWhenUsed="0" w:uiPriority="0" w:semiHidden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_GB2312" w:hAnsi="_GB2312"/>
      <w:b/>
      <w:bCs/>
      <w:color w:val="FF8000"/>
      <w:kern w:val="0"/>
      <w:sz w:val="36"/>
      <w:szCs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"/>
    <w:qFormat/>
    <w:uiPriority w:val="0"/>
    <w:pPr>
      <w:spacing w:before="180" w:after="180"/>
    </w:pPr>
  </w:style>
  <w:style w:type="paragraph" w:styleId="4">
    <w:name w:val="Balloon Text"/>
    <w:basedOn w:val="1"/>
    <w:link w:val="16"/>
    <w:uiPriority w:val="0"/>
    <w:rPr>
      <w:sz w:val="18"/>
      <w:szCs w:val="18"/>
    </w:rPr>
  </w:style>
  <w:style w:type="paragraph" w:styleId="5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 w:line="384" w:lineRule="auto"/>
      <w:ind w:firstLine="562"/>
      <w:jc w:val="left"/>
    </w:pPr>
    <w:rPr>
      <w:kern w:val="0"/>
      <w:sz w:val="24"/>
    </w:rPr>
  </w:style>
  <w:style w:type="table" w:styleId="9">
    <w:name w:val="Table Elegant"/>
    <w:basedOn w:val="8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0">
    <w:name w:val="Table Grid 5"/>
    <w:basedOn w:val="8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character" w:styleId="12">
    <w:name w:val="page number"/>
    <w:basedOn w:val="11"/>
    <w:uiPriority w:val="0"/>
  </w:style>
  <w:style w:type="character" w:styleId="13">
    <w:name w:val="Hyperlink"/>
    <w:basedOn w:val="14"/>
    <w:uiPriority w:val="0"/>
    <w:rPr>
      <w:color w:val="0000FF"/>
      <w:u w:val="single"/>
    </w:rPr>
  </w:style>
  <w:style w:type="character" w:customStyle="1" w:styleId="14">
    <w:name w:val="Body Text Char"/>
    <w:basedOn w:val="11"/>
    <w:link w:val="3"/>
    <w:qFormat/>
    <w:uiPriority w:val="0"/>
  </w:style>
  <w:style w:type="character" w:customStyle="1" w:styleId="15">
    <w:name w:val="页眉 字符"/>
    <w:link w:val="6"/>
    <w:uiPriority w:val="0"/>
    <w:rPr>
      <w:kern w:val="2"/>
      <w:sz w:val="18"/>
      <w:szCs w:val="18"/>
    </w:rPr>
  </w:style>
  <w:style w:type="character" w:customStyle="1" w:styleId="16">
    <w:name w:val="批注框文本 字符"/>
    <w:link w:val="4"/>
    <w:uiPriority w:val="0"/>
    <w:rPr>
      <w:kern w:val="2"/>
      <w:sz w:val="18"/>
      <w:szCs w:val="18"/>
    </w:rPr>
  </w:style>
  <w:style w:type="character" w:customStyle="1" w:styleId="17">
    <w:name w:val="页脚 字符"/>
    <w:link w:val="5"/>
    <w:uiPriority w:val="99"/>
    <w:rPr>
      <w:kern w:val="2"/>
      <w:sz w:val="18"/>
      <w:szCs w:val="18"/>
    </w:rPr>
  </w:style>
  <w:style w:type="paragraph" w:customStyle="1" w:styleId="18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64589-2F55-4324-94D4-83ADF8C157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1593</Words>
  <Characters>2252</Characters>
  <Lines>3</Lines>
  <Paragraphs>1</Paragraphs>
  <TotalTime>3</TotalTime>
  <ScaleCrop>false</ScaleCrop>
  <LinksUpToDate>false</LinksUpToDate>
  <CharactersWithSpaces>2329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2021-09-24T06:14:00Z</dcterms:created>
  <dc:creator>User</dc:creator>
  <cp:lastModifiedBy>USER</cp:lastModifiedBy>
  <cp:lastPrinted>2021-05-20T02:49:00Z</cp:lastPrinted>
  <dcterms:modified xsi:type="dcterms:W3CDTF">2026-05-08T10:21:29Z</dcterms:modified>
  <dc:title>办理情况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eyJoZGlkIjoiZTVhMWY2YTU1OGFjZDFiMTljOWU3OWExZTUzNjhhNTIiLCJ1c2VySWQiOiI0NjcwMDk4MDUifQ==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78E715A48E0742DA9A3F8AD3FE09C69D_12</vt:lpwstr>
  </property>
</Properties>
</file>