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Helvetica Neue" w:hAnsi="Helvetica Neue"/>
          <w:b/>
          <w:color w:val="0055B8"/>
          <w:sz w:val="44"/>
        </w:rPr>
        <w:t>Rennstrategie &amp; Physiologische Belastungsanalyse</w:t>
      </w:r>
    </w:p>
    <w:p>
      <w:pPr>
        <w:spacing w:after="320"/>
      </w:pPr>
      <w:r>
        <w:rPr>
          <w:rFonts w:ascii="Helvetica Neue" w:hAnsi="Helvetica Neue"/>
          <w:b/>
          <w:color w:val="64646A"/>
          <w:sz w:val="21"/>
        </w:rPr>
        <w:t>Wettkampf: Trail Côte d’Opale (25 km / 250 Hm) · Datum: 13.09.2026 (KW 37)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7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rFonts w:ascii="Helvetica Neue" w:hAnsi="Helvetica Neue"/>
                <w:b/>
                <w:color w:val="0055B8"/>
                <w:sz w:val="20"/>
              </w:rPr>
              <w:t>KERNZIEL DER GENERALPROBE:</w:t>
              <w:br/>
            </w:r>
            <w:r>
              <w:rPr>
                <w:rFonts w:ascii="Helvetica Neue" w:hAnsi="Helvetica Neue"/>
                <w:color w:val="1C1C1E"/>
                <w:sz w:val="21"/>
              </w:rPr>
              <w:t>Kontrollierte Ausdauerleistung im reinen aeroben Bereich (Zielpuls HF ~130 bpm). Belastungstest von Pacing, Verpflegungs-Timing (Maltodextrin, Marzipan, Feigen) und Ausrüstung unter realistischen Klippen- und Strandbedingungen für den Drachenlauf.</w:t>
            </w:r>
          </w:p>
        </w:tc>
      </w:tr>
    </w:tbl>
    <w:p>
      <w:pPr>
        <w:spacing w:after="280"/>
      </w:pPr>
    </w:p>
    <w:p>
      <w:pPr>
        <w:spacing w:before="280" w:after="160"/>
      </w:pPr>
      <w:r>
        <w:rPr>
          <w:rFonts w:ascii="Helvetica Neue" w:hAnsi="Helvetica Neue"/>
          <w:b/>
          <w:color w:val="0055B8"/>
          <w:sz w:val="30"/>
        </w:rPr>
        <w:t>1. Pacing- &amp; Rennsegment-Strategie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C6CC"/>
          <w:left w:val="single" w:sz="6" w:space="0" w:color="C6C6CC"/>
          <w:bottom w:val="single" w:sz="6" w:space="0" w:color="C6C6CC"/>
          <w:right w:val="single" w:sz="6" w:space="0" w:color="C6C6CC"/>
          <w:insideH w:val="single" w:sz="6" w:space="0" w:color="C6C6CC"/>
          <w:insideV w:val="single" w:sz="6" w:space="0" w:color="C6C6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055B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Streckenabschnitt</w:t>
            </w:r>
          </w:p>
        </w:tc>
        <w:tc>
          <w:tcPr>
            <w:tcW w:type="dxa" w:w="3888"/>
            <w:shd w:val="clear" w:color="auto" w:fill="0055B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Geländeprofil &amp; Taktik</w:t>
            </w:r>
          </w:p>
        </w:tc>
        <w:tc>
          <w:tcPr>
            <w:tcW w:type="dxa" w:w="1728"/>
            <w:shd w:val="clear" w:color="auto" w:fill="0055B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Zielzeit</w:t>
            </w:r>
          </w:p>
        </w:tc>
        <w:tc>
          <w:tcPr>
            <w:tcW w:type="dxa" w:w="1584"/>
            <w:shd w:val="clear" w:color="auto" w:fill="0055B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Puls-Vorgabe</w:t>
            </w:r>
          </w:p>
        </w:tc>
      </w:tr>
      <w:tr>
        <w:tc>
          <w:tcPr>
            <w:tcW w:type="dxa" w:w="2160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km 0 – 8</w:t>
              <w:br/>
              <w:t>Start bis Wissant Beach</w:t>
            </w:r>
          </w:p>
        </w:tc>
        <w:tc>
          <w:tcPr>
            <w:tcW w:type="dxa" w:w="3888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Flacher Strandabschnitt. Disziplinierte Tempozügelung, Tiefsand meiden. Fettverbrennung priorisieren.</w:t>
            </w:r>
          </w:p>
        </w:tc>
        <w:tc>
          <w:tcPr>
            <w:tcW w:type="dxa" w:w="1728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53 – 56 Min.</w:t>
            </w:r>
          </w:p>
        </w:tc>
        <w:tc>
          <w:tcPr>
            <w:tcW w:type="dxa" w:w="1584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HF &lt; 135 bpm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km 8 – 15</w:t>
              <w:br/>
              <w:t>Cap Gris-Nez Klippen</w:t>
            </w:r>
          </w:p>
        </w:tc>
        <w:tc>
          <w:tcPr>
            <w:tcW w:type="dxa" w:w="3888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Klippenanstiege &amp; Treppen. Anstiege früh im Zügig-Gehen absolvieren.</w:t>
              <w:br/>
              <w:t>VP 1 bei km 10: Wasser nachfüllen.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1:08 – 1:12 Std.</w:t>
              <w:br/>
              <w:t>(bei km 10)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HF 130 – 140 bpm</w:t>
            </w:r>
          </w:p>
        </w:tc>
      </w:tr>
      <w:tr>
        <w:tc>
          <w:tcPr>
            <w:tcW w:type="dxa" w:w="2160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km 15 – 20</w:t>
              <w:br/>
              <w:t>Ambleteuse Dünen</w:t>
            </w:r>
          </w:p>
        </w:tc>
        <w:tc>
          <w:tcPr>
            <w:tcW w:type="dxa" w:w="3888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Weicher Sand &amp; Dünen. Kürzere Schrittlänge, hohe Schrittfrequenz.</w:t>
              <w:br/>
              <w:t>VP 2 bei km 20: Wasserstopp.</w:t>
            </w:r>
          </w:p>
        </w:tc>
        <w:tc>
          <w:tcPr>
            <w:tcW w:type="dxa" w:w="1728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2:14 – 2:22 Std.</w:t>
              <w:br/>
              <w:t>(bei km 20)</w:t>
            </w:r>
          </w:p>
        </w:tc>
        <w:tc>
          <w:tcPr>
            <w:tcW w:type="dxa" w:w="1584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HF 135 – 142 bpm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km 20 – 25</w:t>
              <w:br/>
              <w:t>Ziel Wimereux</w:t>
            </w:r>
          </w:p>
        </w:tc>
        <w:tc>
          <w:tcPr>
            <w:tcW w:type="dxa" w:w="3888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Kontrolliertes Finish. Bei verbleibender Frische Tempo auf den letzten KM leicht anziehen.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2:48 – 2:56 Std.</w:t>
              <w:br/>
              <w:t>(Ziel)</w:t>
            </w:r>
          </w:p>
        </w:tc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HF max. 150 bpm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Helvetica Neue" w:hAnsi="Helvetica Neue"/>
          <w:b/>
          <w:color w:val="0055B8"/>
          <w:sz w:val="30"/>
        </w:rPr>
        <w:t>2. Verpflegungs- &amp; Hydrationsschema</w:t>
      </w:r>
    </w:p>
    <w:p>
      <w:pPr>
        <w:pStyle w:val="ListBullet"/>
        <w:spacing w:after="80"/>
      </w:pPr>
      <w:r>
        <w:rPr>
          <w:rFonts w:ascii="Helvetica Neue" w:hAnsi="Helvetica Neue"/>
          <w:b/>
          <w:sz w:val="21"/>
        </w:rPr>
        <w:t xml:space="preserve">Flüssigkeitszufuhr: </w:t>
      </w:r>
      <w:r>
        <w:rPr>
          <w:rFonts w:ascii="Helvetica Neue" w:hAnsi="Helvetica Neue"/>
          <w:sz w:val="21"/>
        </w:rPr>
        <w:t>2x 500 ml Softflasks mit Maltodextrin-Lösung bestückt.</w:t>
      </w:r>
    </w:p>
    <w:p>
      <w:pPr>
        <w:pStyle w:val="ListBullet"/>
        <w:spacing w:after="80"/>
      </w:pPr>
      <w:r>
        <w:rPr>
          <w:rFonts w:ascii="Helvetica Neue" w:hAnsi="Helvetica Neue"/>
          <w:b/>
          <w:sz w:val="21"/>
        </w:rPr>
        <w:t xml:space="preserve">Trinkrhythmus: </w:t>
      </w:r>
      <w:r>
        <w:rPr>
          <w:rFonts w:ascii="Helvetica Neue" w:hAnsi="Helvetica Neue"/>
          <w:sz w:val="21"/>
        </w:rPr>
        <w:t>Alle 15–20 Minuten 2–3 Schlucke Maltodextrin-Lösung trinken und mit Wasser nachspülen.</w:t>
      </w:r>
    </w:p>
    <w:p>
      <w:pPr>
        <w:pStyle w:val="ListBullet"/>
        <w:spacing w:after="80"/>
      </w:pPr>
      <w:r>
        <w:rPr>
          <w:rFonts w:ascii="Helvetica Neue" w:hAnsi="Helvetica Neue"/>
          <w:b/>
          <w:sz w:val="21"/>
        </w:rPr>
        <w:t xml:space="preserve">Feste Nahrung: </w:t>
      </w:r>
      <w:r>
        <w:rPr>
          <w:rFonts w:ascii="Helvetica Neue" w:hAnsi="Helvetica Neue"/>
          <w:sz w:val="21"/>
        </w:rPr>
        <w:t>Ab Stunde 1,5 alle 25–30 Minuten kleine Portionen Marzipan und getrocknete Feigen kauen (beim Gehen an Steigungen).</w:t>
      </w:r>
    </w:p>
    <w:p>
      <w:pPr>
        <w:pStyle w:val="ListBullet"/>
        <w:spacing w:after="80"/>
      </w:pPr>
      <w:r>
        <w:rPr>
          <w:rFonts w:ascii="Helvetica Neue" w:hAnsi="Helvetica Neue"/>
          <w:b/>
          <w:sz w:val="21"/>
        </w:rPr>
        <w:t xml:space="preserve">Verpflegungsstationen: </w:t>
      </w:r>
      <w:r>
        <w:rPr>
          <w:rFonts w:ascii="Helvetica Neue" w:hAnsi="Helvetica Neue"/>
          <w:sz w:val="21"/>
        </w:rPr>
        <w:t>Beide VPs (km 10 und km 20) zur Auffüllung der Wasserreserven nutzen.</w:t>
      </w:r>
    </w:p>
    <w:p>
      <w:pPr>
        <w:spacing w:after="280"/>
      </w:pPr>
    </w:p>
    <w:p>
      <w:pPr>
        <w:spacing w:before="280" w:after="120"/>
      </w:pPr>
      <w:r>
        <w:rPr>
          <w:rFonts w:ascii="Helvetica Neue" w:hAnsi="Helvetica Neue"/>
          <w:b/>
          <w:color w:val="0055B8"/>
          <w:sz w:val="30"/>
        </w:rPr>
        <w:t>3. Physiologische Definition: Anaerobe Schwelle („Saurer Bereich“)</w:t>
      </w:r>
    </w:p>
    <w:p>
      <w:pPr>
        <w:spacing w:after="240"/>
      </w:pPr>
      <w:r>
        <w:rPr>
          <w:rFonts w:ascii="Helvetica Neue" w:hAnsi="Helvetica Neue"/>
          <w:sz w:val="21"/>
        </w:rPr>
        <w:t>Der sogenannte „saure Bereich“ bezeichnet das Überschreiten der anaeroben Schwelle (Laktatschwelle 2 / VT2). An diesem Punkt übersteigt die Laktatproduktionsrate in der arbeitenden Muskulatur die maximale Laktatabbau- und Oxidationskapazität des Organismus. Durch die Akkumulation von H+-Ionen sinkt der intramuskuläre pH-Wert (Übersäuerung), was zur Hemmung der Glykolyse-Enzyme und raschem Leistungsabfall führt.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C6CC"/>
          <w:left w:val="single" w:sz="6" w:space="0" w:color="C6C6CC"/>
          <w:bottom w:val="single" w:sz="6" w:space="0" w:color="C6C6CC"/>
          <w:right w:val="single" w:sz="6" w:space="0" w:color="C6C6CC"/>
          <w:insideH w:val="single" w:sz="6" w:space="0" w:color="C6C6CC"/>
          <w:insideV w:val="single" w:sz="6" w:space="0" w:color="C6C6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055B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Zone</w:t>
            </w:r>
          </w:p>
        </w:tc>
        <w:tc>
          <w:tcPr>
            <w:tcW w:type="dxa" w:w="1872"/>
            <w:shd w:val="clear" w:color="auto" w:fill="0055B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HF-Bereich</w:t>
            </w:r>
          </w:p>
        </w:tc>
        <w:tc>
          <w:tcPr>
            <w:tcW w:type="dxa" w:w="2592"/>
            <w:shd w:val="clear" w:color="auto" w:fill="0055B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Primärer Stoffwechsel</w:t>
            </w:r>
          </w:p>
        </w:tc>
        <w:tc>
          <w:tcPr>
            <w:tcW w:type="dxa" w:w="2736"/>
            <w:shd w:val="clear" w:color="auto" w:fill="0055B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Physiologische Auswirkung</w:t>
            </w:r>
          </w:p>
        </w:tc>
      </w:tr>
      <w:tr>
        <w:tc>
          <w:tcPr>
            <w:tcW w:type="dxa" w:w="2160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GA1 (Grundlage)</w:t>
            </w:r>
          </w:p>
        </w:tc>
        <w:tc>
          <w:tcPr>
            <w:tcW w:type="dxa" w:w="1872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110 – 135 bpm</w:t>
            </w:r>
          </w:p>
        </w:tc>
        <w:tc>
          <w:tcPr>
            <w:tcW w:type="dxa" w:w="2592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Aerobe Lipolyse &amp; Glukose-Oxidation</w:t>
            </w:r>
          </w:p>
        </w:tc>
        <w:tc>
          <w:tcPr>
            <w:tcW w:type="dxa" w:w="2736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Laktat-Steady-State (&lt; 2,0 mmol/l): Stabile Glykogenschonung, ungestörte Magen-Darm-Absorption.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GA2 (Entwicklung)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136 – 150 bpm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Aerobe Glykolyse dominiert</w:t>
            </w:r>
          </w:p>
        </w:tc>
        <w:tc>
          <w:tcPr>
            <w:tcW w:type="dxa" w:w="2736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Moderater Laktatanstieg (2,0 – 4,0 mmol/l): Erhöhter Glykogenverbrauch, begrenzte Haltedauer.</w:t>
            </w:r>
          </w:p>
        </w:tc>
      </w:tr>
      <w:tr>
        <w:tc>
          <w:tcPr>
            <w:tcW w:type="dxa" w:w="2160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Anaerobe Schwelle</w:t>
            </w:r>
          </w:p>
        </w:tc>
        <w:tc>
          <w:tcPr>
            <w:tcW w:type="dxa" w:w="1872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≥ 152 – 155 bpm</w:t>
            </w:r>
          </w:p>
        </w:tc>
        <w:tc>
          <w:tcPr>
            <w:tcW w:type="dxa" w:w="2592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Anaerobe Glykolyse</w:t>
            </w:r>
          </w:p>
        </w:tc>
        <w:tc>
          <w:tcPr>
            <w:tcW w:type="dxa" w:w="2736"/>
            <w:shd w:val="clear" w:color="auto" w:fill="F2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9"/>
              </w:rPr>
              <w:t>Kumulative Übersäuerung (&gt; 4,0 mmol/l): Rascher Leistungsabfall, Magenentleerungsstörung.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Helvetica Neue" w:hAnsi="Helvetica Neue"/>
          <w:b/>
          <w:color w:val="0055B8"/>
          <w:sz w:val="30"/>
        </w:rPr>
        <w:t>4. Anwendung auf die Belastungssteuerung (HF ~130 bpm)</w:t>
      </w:r>
    </w:p>
    <w:p>
      <w:pPr>
        <w:pStyle w:val="ListBullet"/>
        <w:spacing w:after="80"/>
      </w:pPr>
      <w:r>
        <w:rPr>
          <w:rFonts w:ascii="Helvetica Neue" w:hAnsi="Helvetica Neue"/>
          <w:b/>
          <w:sz w:val="21"/>
        </w:rPr>
        <w:t xml:space="preserve">Intensitätssteuerung bei HF ~130 bpm: </w:t>
      </w:r>
      <w:r>
        <w:rPr>
          <w:rFonts w:ascii="Helvetica Neue" w:hAnsi="Helvetica Neue"/>
          <w:sz w:val="21"/>
        </w:rPr>
        <w:t>Ein Zielpuls von ~130 bpm hält die Belastung mit einem Sicherheitsabstand von ca. 20–25 Herzschlägen unterhalb der anaeroben Schwelle.</w:t>
      </w:r>
    </w:p>
    <w:p>
      <w:pPr>
        <w:pStyle w:val="ListBullet"/>
        <w:spacing w:after="80"/>
      </w:pPr>
      <w:r>
        <w:rPr>
          <w:rFonts w:ascii="Helvetica Neue" w:hAnsi="Helvetica Neue"/>
          <w:b/>
          <w:sz w:val="21"/>
        </w:rPr>
        <w:t xml:space="preserve">Kohlenhydrat-Absorption: </w:t>
      </w:r>
      <w:r>
        <w:rPr>
          <w:rFonts w:ascii="Helvetica Neue" w:hAnsi="Helvetica Neue"/>
          <w:sz w:val="21"/>
        </w:rPr>
        <w:t>Unterhalb von 135 bpm bleibt die viszeral-splanchnische Durchblutung erhalten. Die Zufuhr von Maltodextrin und fester Nahrung über den Magen-Darm-Trakt ist physiologisch sichergestellt.</w:t>
      </w:r>
    </w:p>
    <w:p>
      <w:pPr>
        <w:pStyle w:val="ListBullet"/>
        <w:spacing w:after="80"/>
      </w:pPr>
      <w:r>
        <w:rPr>
          <w:rFonts w:ascii="Helvetica Neue" w:hAnsi="Helvetica Neue"/>
          <w:b/>
          <w:sz w:val="21"/>
        </w:rPr>
        <w:t xml:space="preserve">Geländeanpassung: </w:t>
      </w:r>
      <w:r>
        <w:rPr>
          <w:rFonts w:ascii="Helvetica Neue" w:hAnsi="Helvetica Neue"/>
          <w:sz w:val="21"/>
        </w:rPr>
        <w:t>Bei Steigungen, Gegenwind oder Tiefsand steigt die physikalische Leistung an. Um das Abdriften in den GA2- oder Schwellenbereich zu verhindern, wird die Laufgeschwindigkeit gedrosselt oder in Gehschritte gewechselt, bis sich die Herzfrequenz wieder im Zielbereich um 130 bpm stabilisiert.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