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60"/>
        <w:jc w:val="center"/>
      </w:pPr>
      <w:r>
        <w:rPr>
          <w:rFonts w:ascii="Helvetica" w:hAnsi="Helvetica"/>
          <w:b/>
          <w:color w:val="A85C28"/>
          <w:sz w:val="19"/>
        </w:rPr>
        <w:t>REISE-SKIZZE · JUNI 2027</w:t>
      </w:r>
    </w:p>
    <w:p>
      <w:pPr>
        <w:spacing w:after="200"/>
        <w:jc w:val="center"/>
      </w:pPr>
      <w:r>
        <w:rPr>
          <w:rFonts w:ascii="Georgia" w:hAnsi="Georgia"/>
          <w:b/>
          <w:color w:val="224C44"/>
          <w:sz w:val="52"/>
        </w:rPr>
        <w:t>Zwei Neandertaler auf großer Reise</w:t>
      </w:r>
    </w:p>
    <w:p>
      <w:pPr>
        <w:spacing w:after="560"/>
        <w:jc w:val="center"/>
      </w:pPr>
      <w:r>
        <w:rPr>
          <w:rFonts w:ascii="Georgia" w:hAnsi="Georgia"/>
          <w:i/>
          <w:color w:val="6E6E73"/>
          <w:sz w:val="26"/>
        </w:rPr>
        <w:t>Eine kleine Juni-Geschichte über Seen, Schluchten, Zirbenduft und einen ganz beiläufigen Vormittag</w:t>
      </w:r>
    </w:p>
    <w:p>
      <w:pPr>
        <w:spacing w:line="300" w:lineRule="auto" w:after="140"/>
        <w:jc w:val="both"/>
      </w:pPr>
      <w:r>
        <w:rPr>
          <w:rFonts w:ascii="Georgia" w:hAnsi="Georgia"/>
          <w:color w:val="282828"/>
          <w:sz w:val="22"/>
        </w:rPr>
        <w:t>Es war einmal Mitte Juni, als zwei kultivierte Neandertaler beschlossen, dass es im heimatlichen Tal an der Düssel zwar wunderschön war, die Welt hinter dem Horizont aber dringend erkundet werden musste.</w:t>
      </w:r>
    </w:p>
    <w:p>
      <w:pPr>
        <w:spacing w:line="300" w:lineRule="auto" w:after="140"/>
        <w:jc w:val="both"/>
      </w:pPr>
      <w:r>
        <w:rPr>
          <w:rFonts w:ascii="Georgia" w:hAnsi="Georgia"/>
          <w:color w:val="282828"/>
          <w:sz w:val="22"/>
        </w:rPr>
        <w:t>Das Mammut war längst ausgestorben, die Keulen standen im Schrank, und anstelle eines mühsamen Fußmarsches durchs Gestrüpp besaßen die beiden eine äußerst komfortable, moderne Höhle auf vier Rädern: ihren Camper. Darin gab es ein weiches Bett, einen Herd für warmen Morgenkaffee und – ganz wichtig – absolute Unabhängigkeit.</w:t>
      </w:r>
    </w:p>
    <w:p>
      <w:pPr>
        <w:keepNext/>
        <w:spacing w:before="440" w:after="160"/>
      </w:pPr>
      <w:r>
        <w:rPr>
          <w:rFonts w:ascii="Helvetica" w:hAnsi="Helvetica"/>
          <w:b/>
          <w:color w:val="224C44"/>
          <w:sz w:val="30"/>
        </w:rPr>
        <w:t>1. Erste Rast: Die Sippe am großen Wasser</w:t>
      </w:r>
    </w:p>
    <w:p>
      <w:pPr>
        <w:spacing w:line="300" w:lineRule="auto" w:after="140"/>
        <w:jc w:val="both"/>
      </w:pPr>
      <w:r>
        <w:rPr>
          <w:rFonts w:ascii="Georgia" w:hAnsi="Georgia"/>
          <w:color w:val="282828"/>
          <w:sz w:val="22"/>
        </w:rPr>
        <w:t>Ihre Reise begann mit einer Fahrt nach Süden, noch bevor die großen Völkerwanderungen der Schulferien die Pfade verstopften. Die Sonne schien mild, die Luft war klar, und nach ein paar Stunden gemütlichen Rollens erreichten sie das große Wasser: den Bodensee.</w:t>
      </w:r>
    </w:p>
    <w:p>
      <w:pPr>
        <w:spacing w:line="300" w:lineRule="auto" w:after="140"/>
        <w:jc w:val="both"/>
      </w:pPr>
      <w:r>
        <w:rPr>
          <w:rFonts w:ascii="Georgia" w:hAnsi="Georgia"/>
          <w:color w:val="282828"/>
          <w:sz w:val="22"/>
        </w:rPr>
        <w:t>In Lindau machten sie Halt, um befreundete Stammesmitglieder zu besuchen. Am Ufer wurde der Camper abgestellt, es gab ein großes Wiedersehen, gebratenen Fisch, feinen vergorenen Traubensaft und Geschichten bis spät in die milde Nacht. Als die beiden am nächsten Morgen mit Blick über das glitzernde Wasser frühstückten, waren sie sich einig: Der Auszug aus dem Neandertal war jetzt schon ein voller Erfolg.</w:t>
      </w:r>
    </w:p>
    <w:p>
      <w:pPr>
        <w:spacing w:before="240" w:after="80"/>
        <w:jc w:val="center"/>
      </w:pPr>
      <w:r>
        <w:drawing>
          <wp:inline xmlns:a="http://schemas.openxmlformats.org/drawingml/2006/main" xmlns:pic="http://schemas.openxmlformats.org/drawingml/2006/picture">
            <wp:extent cx="5303520" cy="1763420"/>
            <wp:docPr id="1" name="Picture 1"/>
            <wp:cNvGraphicFramePr>
              <a:graphicFrameLocks noChangeAspect="1"/>
            </wp:cNvGraphicFramePr>
            <a:graphic>
              <a:graphicData uri="http://schemas.openxmlformats.org/drawingml/2006/picture">
                <pic:pic>
                  <pic:nvPicPr>
                    <pic:cNvPr id="0" name="lindau.jpg"/>
                    <pic:cNvPicPr/>
                  </pic:nvPicPr>
                  <pic:blipFill>
                    <a:blip r:embed="rId9"/>
                    <a:stretch>
                      <a:fillRect/>
                    </a:stretch>
                  </pic:blipFill>
                  <pic:spPr>
                    <a:xfrm>
                      <a:off x="0" y="0"/>
                      <a:ext cx="5303520" cy="1763420"/>
                    </a:xfrm>
                    <a:prstGeom prst="rect"/>
                  </pic:spPr>
                </pic:pic>
              </a:graphicData>
            </a:graphic>
          </wp:inline>
        </w:drawing>
      </w:r>
    </w:p>
    <w:p>
      <w:pPr>
        <w:spacing w:after="280"/>
        <w:jc w:val="center"/>
      </w:pPr>
      <w:r>
        <w:rPr>
          <w:rFonts w:ascii="Helvetica" w:hAnsi="Helvetica"/>
          <w:i/>
          <w:color w:val="6E6E73"/>
          <w:sz w:val="18"/>
        </w:rPr>
        <w:t>Erste Station: Abendsonne am Bodensee und Wiedersehen mit Freunden in Lindau.</w:t>
      </w:r>
    </w:p>
    <w:p>
      <w:pPr>
        <w:keepNext/>
        <w:spacing w:before="440" w:after="160"/>
      </w:pPr>
      <w:r>
        <w:rPr>
          <w:rFonts w:ascii="Helvetica" w:hAnsi="Helvetica"/>
          <w:b/>
          <w:color w:val="224C44"/>
          <w:sz w:val="30"/>
        </w:rPr>
        <w:t>2. Das neue Revier im Felsengebirge</w:t>
      </w:r>
    </w:p>
    <w:p>
      <w:pPr>
        <w:spacing w:line="300" w:lineRule="auto" w:after="140"/>
        <w:jc w:val="both"/>
      </w:pPr>
      <w:r>
        <w:rPr>
          <w:rFonts w:ascii="Georgia" w:hAnsi="Georgia"/>
          <w:color w:val="282828"/>
          <w:sz w:val="22"/>
        </w:rPr>
        <w:t>Von Lindau aus war es nur ein kleiner Sprung von anderthalb Stunden über die Berge bis ins Tiroler Oberland. Ihr Ziel hieß Imst – ein Ort, der von so gewaltigen, gezackten Kalksteinwänden umrahmt war, dass jedem traditionsbewussten Neandertaler das Herz aufging.</w:t>
      </w:r>
    </w:p>
    <w:p>
      <w:pPr>
        <w:spacing w:line="300" w:lineRule="auto" w:after="140"/>
        <w:jc w:val="both"/>
      </w:pPr>
      <w:r>
        <w:rPr>
          <w:rFonts w:ascii="Georgia" w:hAnsi="Georgia"/>
          <w:color w:val="282828"/>
          <w:sz w:val="22"/>
        </w:rPr>
        <w:t>Sie bezogen ihr Basislager auf einem kleinen, feinen Platz namens Campingpark FiNK. Hier gab es keinen Höhlenlärm und keine wilden Horden, sondern beheizte Waschräume von erstaunlichem Luxus, absolute Nachtruhe und einen Dorfbecker, der morgens nur drei Minuten Fußweg entfernt frisches Brot buk. Von den Campingstühlen aus blickte man direkt hinauf in die schroffen Felsen des Muttekopfs.</w:t>
      </w:r>
    </w:p>
    <w:p>
      <w:pPr>
        <w:spacing w:line="300" w:lineRule="auto" w:after="140"/>
        <w:jc w:val="both"/>
      </w:pPr>
      <w:r>
        <w:rPr>
          <w:rFonts w:ascii="Georgia" w:hAnsi="Georgia"/>
          <w:color w:val="282828"/>
          <w:sz w:val="22"/>
        </w:rPr>
        <w:t>Und das Beste: Es hatte frische 20 Grad. Keine sengende Hitze, bei der einem das Fell zu warm wurde, sondern perfektes Wanderwetter.</w:t>
      </w:r>
    </w:p>
    <w:p>
      <w:pPr>
        <w:spacing w:before="240" w:after="80"/>
        <w:jc w:val="center"/>
      </w:pPr>
      <w:r>
        <w:drawing>
          <wp:inline xmlns:a="http://schemas.openxmlformats.org/drawingml/2006/main" xmlns:pic="http://schemas.openxmlformats.org/drawingml/2006/picture">
            <wp:extent cx="5303520" cy="7001347"/>
            <wp:docPr id="2" name="Picture 2"/>
            <wp:cNvGraphicFramePr>
              <a:graphicFrameLocks noChangeAspect="1"/>
            </wp:cNvGraphicFramePr>
            <a:graphic>
              <a:graphicData uri="http://schemas.openxmlformats.org/drawingml/2006/picture">
                <pic:pic>
                  <pic:nvPicPr>
                    <pic:cNvPr id="0" name="muttekopf.jpg"/>
                    <pic:cNvPicPr/>
                  </pic:nvPicPr>
                  <pic:blipFill>
                    <a:blip r:embed="rId10"/>
                    <a:stretch>
                      <a:fillRect/>
                    </a:stretch>
                  </pic:blipFill>
                  <pic:spPr>
                    <a:xfrm>
                      <a:off x="0" y="0"/>
                      <a:ext cx="5303520" cy="7001347"/>
                    </a:xfrm>
                    <a:prstGeom prst="rect"/>
                  </pic:spPr>
                </pic:pic>
              </a:graphicData>
            </a:graphic>
          </wp:inline>
        </w:drawing>
      </w:r>
    </w:p>
    <w:p>
      <w:pPr>
        <w:spacing w:after="280"/>
        <w:jc w:val="center"/>
      </w:pPr>
      <w:r>
        <w:rPr>
          <w:rFonts w:ascii="Helvetica" w:hAnsi="Helvetica"/>
          <w:i/>
          <w:color w:val="6E6E73"/>
          <w:sz w:val="18"/>
        </w:rPr>
        <w:t>Der Hausberg vor der Campertür: Das Felsmassiv des Imster Muttekopfs.</w:t>
      </w:r>
    </w:p>
    <w:p>
      <w:pPr>
        <w:keepNext/>
        <w:spacing w:before="440" w:after="160"/>
      </w:pPr>
      <w:r>
        <w:rPr>
          <w:rFonts w:ascii="Helvetica" w:hAnsi="Helvetica"/>
          <w:b/>
          <w:color w:val="224C44"/>
          <w:sz w:val="30"/>
        </w:rPr>
        <w:t>3. Zehn Tage Durchstreifen der Wälder &amp; Almen</w:t>
      </w:r>
    </w:p>
    <w:p>
      <w:pPr>
        <w:spacing w:line="300" w:lineRule="auto" w:after="140"/>
        <w:jc w:val="both"/>
      </w:pPr>
      <w:r>
        <w:rPr>
          <w:rFonts w:ascii="Georgia" w:hAnsi="Georgia"/>
          <w:color w:val="282828"/>
          <w:sz w:val="22"/>
        </w:rPr>
        <w:t>In den folgenden Tagen machten die beiden genau das, was Neandertaler am besten können: gemächlich, aber ausdauernd durch die Landschaft streifen. Allerdings ohne Jagdstress, sondern als reiner Genuss.</w:t>
      </w:r>
    </w:p>
    <w:p>
      <w:pPr>
        <w:spacing w:line="300" w:lineRule="auto" w:after="140"/>
        <w:jc w:val="both"/>
      </w:pPr>
      <w:r>
        <w:rPr>
          <w:rFonts w:ascii="Georgia" w:hAnsi="Georgia"/>
          <w:color w:val="282828"/>
          <w:sz w:val="22"/>
        </w:rPr>
        <w:t>Sie wanderten vier bis fünf Stunden am Tag, sammelten 500 bis 700 Höhenmeter und folgten schmalen, sicheren Pfaden:</w:t>
      </w:r>
    </w:p>
    <w:p>
      <w:pPr>
        <w:spacing w:line="300" w:lineRule="auto" w:after="140"/>
        <w:jc w:val="both"/>
      </w:pPr>
      <w:r>
        <w:rPr>
          <w:rFonts w:ascii="Georgia" w:hAnsi="Georgia"/>
          <w:color w:val="282828"/>
          <w:sz w:val="22"/>
        </w:rPr>
        <w:t>• Durch die kühle, tosende Rosengartenschlucht, wo das Gebirgswasser über Felsstufen donnerte und die Luft nach feuchtem Moos und Stein roch.</w:t>
      </w:r>
    </w:p>
    <w:p>
      <w:pPr>
        <w:spacing w:line="300" w:lineRule="auto" w:after="140"/>
        <w:jc w:val="both"/>
      </w:pPr>
      <w:r>
        <w:rPr>
          <w:rFonts w:ascii="Georgia" w:hAnsi="Georgia"/>
          <w:color w:val="282828"/>
          <w:sz w:val="22"/>
        </w:rPr>
        <w:t>• Hinauf zur Muttekopfhütte, wo die gastfreundlichen Bergbewohner auf einer sonnigen Holzterrasse riesige Pfannen mit dampfendem Kaiserschmarrn servierten.</w:t>
      </w:r>
    </w:p>
    <w:p>
      <w:pPr>
        <w:spacing w:line="300" w:lineRule="auto" w:after="140"/>
        <w:jc w:val="both"/>
      </w:pPr>
      <w:r>
        <w:rPr>
          <w:rFonts w:ascii="Georgia" w:hAnsi="Georgia"/>
          <w:color w:val="282828"/>
          <w:sz w:val="22"/>
        </w:rPr>
        <w:t>• Zum Piburger See, der wie ein dunkelgrüner Smaragd tief im Nadelwald versteckt lag. Dort zogen sie die Wanderstiefel aus und ließen die Füße ins klare Wasser baumeln.</w:t>
      </w:r>
    </w:p>
    <w:p>
      <w:pPr>
        <w:spacing w:line="300" w:lineRule="auto" w:after="140"/>
        <w:jc w:val="both"/>
      </w:pPr>
      <w:r>
        <w:rPr>
          <w:rFonts w:ascii="Georgia" w:hAnsi="Georgia"/>
          <w:color w:val="282828"/>
          <w:sz w:val="22"/>
        </w:rPr>
        <w:t>• Und hoch hinauf auf 2.000 Meter, wo sie stundenlang auf weichem Nadelboden durch uralte, intensiv duftende Zirbenwälder schlenderten.</w:t>
      </w:r>
    </w:p>
    <w:p>
      <w:pPr>
        <w:spacing w:before="240" w:after="80"/>
        <w:jc w:val="center"/>
      </w:pPr>
      <w:r>
        <w:drawing>
          <wp:inline xmlns:a="http://schemas.openxmlformats.org/drawingml/2006/main" xmlns:pic="http://schemas.openxmlformats.org/drawingml/2006/picture">
            <wp:extent cx="5303520" cy="7955280"/>
            <wp:docPr id="3" name="Picture 3"/>
            <wp:cNvGraphicFramePr>
              <a:graphicFrameLocks noChangeAspect="1"/>
            </wp:cNvGraphicFramePr>
            <a:graphic>
              <a:graphicData uri="http://schemas.openxmlformats.org/drawingml/2006/picture">
                <pic:pic>
                  <pic:nvPicPr>
                    <pic:cNvPr id="0" name="rosengarten.jpg"/>
                    <pic:cNvPicPr/>
                  </pic:nvPicPr>
                  <pic:blipFill>
                    <a:blip r:embed="rId11"/>
                    <a:stretch>
                      <a:fillRect/>
                    </a:stretch>
                  </pic:blipFill>
                  <pic:spPr>
                    <a:xfrm>
                      <a:off x="0" y="0"/>
                      <a:ext cx="5303520" cy="7955280"/>
                    </a:xfrm>
                    <a:prstGeom prst="rect"/>
                  </pic:spPr>
                </pic:pic>
              </a:graphicData>
            </a:graphic>
          </wp:inline>
        </w:drawing>
      </w:r>
    </w:p>
    <w:p>
      <w:pPr>
        <w:spacing w:after="280"/>
        <w:jc w:val="center"/>
      </w:pPr>
      <w:r>
        <w:rPr>
          <w:rFonts w:ascii="Helvetica" w:hAnsi="Helvetica"/>
          <w:i/>
          <w:color w:val="6E6E73"/>
          <w:sz w:val="18"/>
        </w:rPr>
        <w:t>Kühle Gischt und Holzstege: Aufstieg durch die wilde Rosengartenschlucht.</w:t>
      </w:r>
    </w:p>
    <w:p>
      <w:pPr>
        <w:spacing w:line="300" w:lineRule="auto" w:after="140"/>
        <w:jc w:val="both"/>
      </w:pPr>
      <w:r>
        <w:rPr>
          <w:rFonts w:ascii="Georgia" w:hAnsi="Georgia"/>
          <w:color w:val="282828"/>
          <w:sz w:val="22"/>
        </w:rPr>
        <w:t>Weil die beiden Neandertaler von Natur aus ein Faible für alte Dinge und schöne Formen hatten, schauten sie sich auch die Nachbarn genauer an:</w:t>
      </w:r>
    </w:p>
    <w:p>
      <w:pPr>
        <w:spacing w:line="300" w:lineRule="auto" w:after="140"/>
        <w:jc w:val="both"/>
      </w:pPr>
      <w:r>
        <w:rPr>
          <w:rFonts w:ascii="Georgia" w:hAnsi="Georgia"/>
          <w:color w:val="282828"/>
          <w:sz w:val="22"/>
        </w:rPr>
        <w:t>• Sie besuchten am Eingang des Ötztals die Siedlung dieses Ötzi – ein junger Schnösel aus der Kupferzeit, der mit seiner neumodischen Metall-Axt zwar berühmt geworden war, aber gegen echte Neandertaler-Zähigkeit natürlich keine Chance gehabt hätte.</w:t>
      </w:r>
    </w:p>
    <w:p>
      <w:pPr>
        <w:spacing w:line="300" w:lineRule="auto" w:after="140"/>
        <w:jc w:val="both"/>
      </w:pPr>
      <w:r>
        <w:rPr>
          <w:rFonts w:ascii="Georgia" w:hAnsi="Georgia"/>
          <w:color w:val="282828"/>
          <w:sz w:val="22"/>
        </w:rPr>
        <w:t>• Sie stiegen zum Piller Sattel auf, wo vor 3.500 Jahren die Menschen auf einem Altar den Göttern Waffen und Schmuck opferten.</w:t>
      </w:r>
    </w:p>
    <w:p>
      <w:pPr>
        <w:spacing w:line="300" w:lineRule="auto" w:after="140"/>
        <w:jc w:val="both"/>
      </w:pPr>
      <w:r>
        <w:rPr>
          <w:rFonts w:ascii="Georgia" w:hAnsi="Georgia"/>
          <w:color w:val="282828"/>
          <w:sz w:val="22"/>
        </w:rPr>
        <w:t>• Und sie machten einen Ausflug nach Innsbruck, um die kühnen, geschwungenen Glas-Höhlen der legendären Baumeisterin Zaha Hadid zu bestaunen und in der Stadt einen Espresso zu trinken.</w:t>
      </w:r>
    </w:p>
    <w:p>
      <w:pPr>
        <w:spacing w:before="240" w:after="80"/>
        <w:jc w:val="center"/>
      </w:pPr>
      <w:r>
        <w:drawing>
          <wp:inline xmlns:a="http://schemas.openxmlformats.org/drawingml/2006/main" xmlns:pic="http://schemas.openxmlformats.org/drawingml/2006/picture">
            <wp:extent cx="5303520" cy="3977640"/>
            <wp:docPr id="4" name="Picture 4"/>
            <wp:cNvGraphicFramePr>
              <a:graphicFrameLocks noChangeAspect="1"/>
            </wp:cNvGraphicFramePr>
            <a:graphic>
              <a:graphicData uri="http://schemas.openxmlformats.org/drawingml/2006/picture">
                <pic:pic>
                  <pic:nvPicPr>
                    <pic:cNvPr id="0" name="piburger_see.jpg"/>
                    <pic:cNvPicPr/>
                  </pic:nvPicPr>
                  <pic:blipFill>
                    <a:blip r:embed="rId12"/>
                    <a:stretch>
                      <a:fillRect/>
                    </a:stretch>
                  </pic:blipFill>
                  <pic:spPr>
                    <a:xfrm>
                      <a:off x="0" y="0"/>
                      <a:ext cx="5303520" cy="3977640"/>
                    </a:xfrm>
                    <a:prstGeom prst="rect"/>
                  </pic:spPr>
                </pic:pic>
              </a:graphicData>
            </a:graphic>
          </wp:inline>
        </w:drawing>
      </w:r>
    </w:p>
    <w:p>
      <w:pPr>
        <w:spacing w:after="280"/>
        <w:jc w:val="center"/>
      </w:pPr>
      <w:r>
        <w:rPr>
          <w:rFonts w:ascii="Helvetica" w:hAnsi="Helvetica"/>
          <w:i/>
          <w:color w:val="6E6E73"/>
          <w:sz w:val="18"/>
        </w:rPr>
        <w:t>Verstecktes Naturjuwel im Nadelwald: Der warme Piburger See am Ötztal-Eingang.</w:t>
      </w:r>
    </w:p>
    <w:p>
      <w:pPr>
        <w:keepNext/>
        <w:spacing w:before="440" w:after="160"/>
      </w:pPr>
      <w:r>
        <w:rPr>
          <w:rFonts w:ascii="Helvetica" w:hAnsi="Helvetica"/>
          <w:b/>
          <w:color w:val="224C44"/>
          <w:sz w:val="30"/>
        </w:rPr>
        <w:t>4. Der eine, ganz beiläufige Samstagmorgen</w:t>
      </w:r>
    </w:p>
    <w:p>
      <w:pPr>
        <w:spacing w:line="300" w:lineRule="auto" w:after="140"/>
        <w:jc w:val="both"/>
      </w:pPr>
      <w:r>
        <w:rPr>
          <w:rFonts w:ascii="Georgia" w:hAnsi="Georgia"/>
          <w:color w:val="282828"/>
          <w:sz w:val="22"/>
        </w:rPr>
        <w:t>Am ersten Samstagmorgen trat eine uralte, friedliche Arbeitsteilung in Kraft:</w:t>
      </w:r>
    </w:p>
    <w:p>
      <w:pPr>
        <w:spacing w:line="300" w:lineRule="auto" w:after="140"/>
        <w:jc w:val="both"/>
      </w:pPr>
      <w:r>
        <w:rPr>
          <w:rFonts w:ascii="Georgia" w:hAnsi="Georgia"/>
          <w:color w:val="282828"/>
          <w:sz w:val="22"/>
        </w:rPr>
        <w:t>Die Neandertalerin entschied sich für die Königsdisziplin der Erholung: Sie schlief genüsslich aus, kochte sich in aller Seelenruhe einen heißen Kaffee, stellte den Liegestuhl in die Morgensonne vor den Camper und vertiefte sich in ihr Buch.</w:t>
      </w:r>
    </w:p>
    <w:p>
      <w:pPr>
        <w:spacing w:line="300" w:lineRule="auto" w:after="140"/>
        <w:jc w:val="both"/>
      </w:pPr>
      <w:r>
        <w:rPr>
          <w:rFonts w:ascii="Georgia" w:hAnsi="Georgia"/>
          <w:color w:val="282828"/>
          <w:sz w:val="22"/>
        </w:rPr>
        <w:t>Der Neandertaler hingegen verspürte ein kurzes, harmloses Jucken in den Beinen. Ganz beiläufig trabte er um die Ecke in den Fichtenwald. Dort veranstaltete der örtliche Dorfverein einen kleinen, feinen Waldlauf über 16 Kilometer. Für schmale 35 Tauschmünzen lief er anderthalb Stunden mit den Einheimischen über weiche Wurzelpfade durch die Tannen, schwitzte sich einmal gründlich aus – und stand pünktlich um 11:30 Uhr frisch geduscht, wohlriechend und bester Laune wieder am Camper.</w:t>
      </w:r>
    </w:p>
    <w:p>
      <w:pPr>
        <w:spacing w:line="300" w:lineRule="auto" w:after="140"/>
        <w:jc w:val="both"/>
      </w:pPr>
      <w:r>
        <w:rPr>
          <w:rFonts w:ascii="Georgia" w:hAnsi="Georgia"/>
          <w:color w:val="282828"/>
          <w:sz w:val="22"/>
        </w:rPr>
        <w:t>Um Punkt 12:00 Uhr saßen beide gemeinsam beim Mittagessen in der Sonne. Der sportliche Teil war erledigt, die Beine fühlten sich leicht an, und vor ihnen lag noch eine volle Woche gemeinsames Bergvergnügen.</w:t>
      </w:r>
    </w:p>
    <w:p>
      <w:pPr>
        <w:keepNext/>
        <w:spacing w:before="440" w:after="160"/>
      </w:pPr>
      <w:r>
        <w:rPr>
          <w:rFonts w:ascii="Helvetica" w:hAnsi="Helvetica"/>
          <w:b/>
          <w:color w:val="224C44"/>
          <w:sz w:val="30"/>
        </w:rPr>
        <w:t>5. Das Urzeit-Finale auf dem Heimweg</w:t>
      </w:r>
    </w:p>
    <w:p>
      <w:pPr>
        <w:spacing w:line="300" w:lineRule="auto" w:after="140"/>
        <w:jc w:val="both"/>
      </w:pPr>
      <w:r>
        <w:rPr>
          <w:rFonts w:ascii="Georgia" w:hAnsi="Georgia"/>
          <w:color w:val="282828"/>
          <w:sz w:val="22"/>
        </w:rPr>
        <w:t>Nach zwei Wochen packten die beiden ihre rollende Höhle wieder ein. Aber anstatt einfach nur auf der Teerstraße nach Norden zu hasten, wartete auf der Schwäbischen Alb noch eine standesgemäße Zeitreise:</w:t>
      </w:r>
    </w:p>
    <w:p>
      <w:pPr>
        <w:spacing w:line="300" w:lineRule="auto" w:after="140"/>
        <w:jc w:val="both"/>
      </w:pPr>
      <w:r>
        <w:rPr>
          <w:rFonts w:ascii="Georgia" w:hAnsi="Georgia"/>
          <w:color w:val="282828"/>
          <w:sz w:val="22"/>
        </w:rPr>
        <w:t>In Holzmaden bogen sie ab und besuchten das Museum von Meister Hauff. Dort standen die beiden Neandertaler staunend vor den riesigen, 180 Millionen Jahre alten Fischsauriern, die im schwarzen Schiefer verewigt waren, und vor einer gigantischen versteinerten Seelilien-Wand, die schöner war als jedes moderne Gemälde.</w:t>
      </w:r>
    </w:p>
    <w:p>
      <w:pPr>
        <w:spacing w:line="300" w:lineRule="auto" w:after="140"/>
        <w:jc w:val="both"/>
      </w:pPr>
      <w:r>
        <w:rPr>
          <w:rFonts w:ascii="Georgia" w:hAnsi="Georgia"/>
          <w:color w:val="282828"/>
          <w:sz w:val="22"/>
        </w:rPr>
        <w:t>Nach einer großen Portion schwäbischer Teigtaschen rollten sie am späten Nachmittag zurück in ihr heimisches Tal an der Düssel – erholt, satt, voller Bergbilder im Kopf und mit dem sicheren Gefühl, dass dies die beste Reise war, die zwei Neandertaler je unternommen hatten.</w:t>
      </w:r>
    </w:p>
    <w:p>
      <w:pPr>
        <w:spacing w:before="240" w:after="80"/>
        <w:jc w:val="center"/>
      </w:pPr>
      <w:r>
        <w:drawing>
          <wp:inline xmlns:a="http://schemas.openxmlformats.org/drawingml/2006/main" xmlns:pic="http://schemas.openxmlformats.org/drawingml/2006/picture">
            <wp:extent cx="5303520" cy="7965237"/>
            <wp:docPr id="5" name="Picture 5"/>
            <wp:cNvGraphicFramePr>
              <a:graphicFrameLocks noChangeAspect="1"/>
            </wp:cNvGraphicFramePr>
            <a:graphic>
              <a:graphicData uri="http://schemas.openxmlformats.org/drawingml/2006/picture">
                <pic:pic>
                  <pic:nvPicPr>
                    <pic:cNvPr id="0" name="holzmaden.jpg"/>
                    <pic:cNvPicPr/>
                  </pic:nvPicPr>
                  <pic:blipFill>
                    <a:blip r:embed="rId13"/>
                    <a:stretch>
                      <a:fillRect/>
                    </a:stretch>
                  </pic:blipFill>
                  <pic:spPr>
                    <a:xfrm>
                      <a:off x="0" y="0"/>
                      <a:ext cx="5303520" cy="7965237"/>
                    </a:xfrm>
                    <a:prstGeom prst="rect"/>
                  </pic:spPr>
                </pic:pic>
              </a:graphicData>
            </a:graphic>
          </wp:inline>
        </w:drawing>
      </w:r>
    </w:p>
    <w:p>
      <w:pPr>
        <w:spacing w:after="280"/>
        <w:jc w:val="center"/>
      </w:pPr>
      <w:r>
        <w:rPr>
          <w:rFonts w:ascii="Helvetica" w:hAnsi="Helvetica"/>
          <w:i/>
          <w:color w:val="6E6E73"/>
          <w:sz w:val="18"/>
        </w:rPr>
        <w:t>180 Millionen Jahre Erdgeschichte: Die monumentale Seelilienwand im Urwelt-Museum Hauff.</w:t>
      </w:r>
    </w:p>
    <w:p>
      <w:pPr>
        <w:keepNext/>
        <w:spacing w:before="480" w:after="120"/>
      </w:pPr>
      <w:r>
        <w:rPr>
          <w:rFonts w:ascii="Helvetica" w:hAnsi="Helvetica"/>
          <w:b/>
          <w:color w:val="224C44"/>
          <w:sz w:val="22"/>
        </w:rPr>
        <w:t>📋 DIE EXPEDITIONSDATEN AUF EINEN BLICK</w:t>
      </w:r>
    </w:p>
    <w:tbl>
      <w:tblPr>
        <w:tblW w:type="auto" w:w="0"/>
        <w:jc w:val="center"/>
        <w:tblLayout w:type="fixed"/>
        <w:tblLook w:firstColumn="1" w:firstRow="1" w:lastColumn="0" w:lastRow="0" w:noHBand="0" w:noVBand="1" w:val="04A0"/>
      </w:tblPr>
      <w:tblGrid>
        <w:gridCol w:w="4680"/>
        <w:gridCol w:w="4680"/>
      </w:tblGrid>
      <w:tr>
        <w:tc>
          <w:tcPr>
            <w:tcW w:type="dxa" w:w="2880"/>
          </w:tcPr>
          <w:p>
            <w:pPr>
              <w:spacing w:after="60"/>
            </w:pPr>
            <w:r>
              <w:rPr>
                <w:rFonts w:ascii="Helvetica" w:hAnsi="Helvetica"/>
                <w:b/>
                <w:color w:val="224C44"/>
                <w:sz w:val="19"/>
              </w:rPr>
              <w:t>Reisezeitraum</w:t>
            </w:r>
          </w:p>
        </w:tc>
        <w:tc>
          <w:tcPr>
            <w:tcW w:type="dxa" w:w="6480"/>
          </w:tcPr>
          <w:p>
            <w:pPr>
              <w:spacing w:after="60"/>
            </w:pPr>
            <w:r>
              <w:rPr>
                <w:rFonts w:ascii="Georgia" w:hAnsi="Georgia"/>
                <w:color w:val="282828"/>
                <w:sz w:val="19"/>
              </w:rPr>
              <w:t>Mitte Juni (Frühsommer ohne Hitzeglocke &amp; vor den Schulferien)</w:t>
            </w:r>
          </w:p>
        </w:tc>
      </w:tr>
      <w:tr>
        <w:tc>
          <w:tcPr>
            <w:tcW w:type="dxa" w:w="2880"/>
          </w:tcPr>
          <w:p>
            <w:pPr>
              <w:spacing w:after="60"/>
            </w:pPr>
            <w:r>
              <w:rPr>
                <w:rFonts w:ascii="Helvetica" w:hAnsi="Helvetica"/>
                <w:b/>
                <w:color w:val="224C44"/>
                <w:sz w:val="19"/>
              </w:rPr>
              <w:t>Reiseroute</w:t>
            </w:r>
          </w:p>
        </w:tc>
        <w:tc>
          <w:tcPr>
            <w:tcW w:type="dxa" w:w="6480"/>
          </w:tcPr>
          <w:p>
            <w:pPr>
              <w:spacing w:after="60"/>
            </w:pPr>
            <w:r>
              <w:rPr>
                <w:rFonts w:ascii="Georgia" w:hAnsi="Georgia"/>
                <w:color w:val="282828"/>
                <w:sz w:val="19"/>
              </w:rPr>
              <w:t>Düsseldorf ➔ Lindau (Bodensee) ➔ Imst (Tirol) ➔ Holzmaden ➔ Düsseldorf</w:t>
            </w:r>
          </w:p>
        </w:tc>
      </w:tr>
      <w:tr>
        <w:tc>
          <w:tcPr>
            <w:tcW w:type="dxa" w:w="2880"/>
          </w:tcPr>
          <w:p>
            <w:pPr>
              <w:spacing w:after="60"/>
            </w:pPr>
            <w:r>
              <w:rPr>
                <w:rFonts w:ascii="Helvetica" w:hAnsi="Helvetica"/>
                <w:b/>
                <w:color w:val="224C44"/>
                <w:sz w:val="19"/>
              </w:rPr>
              <w:t>Basislager</w:t>
            </w:r>
          </w:p>
        </w:tc>
        <w:tc>
          <w:tcPr>
            <w:tcW w:type="dxa" w:w="6480"/>
          </w:tcPr>
          <w:p>
            <w:pPr>
              <w:spacing w:after="60"/>
            </w:pPr>
            <w:r>
              <w:rPr>
                <w:rFonts w:ascii="Georgia" w:hAnsi="Georgia"/>
                <w:color w:val="282828"/>
                <w:sz w:val="19"/>
              </w:rPr>
              <w:t>Campingpark FiNK in Imst (klein, ruhig, top-gepflegt, Bergblick)</w:t>
            </w:r>
          </w:p>
        </w:tc>
      </w:tr>
      <w:tr>
        <w:tc>
          <w:tcPr>
            <w:tcW w:type="dxa" w:w="2880"/>
          </w:tcPr>
          <w:p>
            <w:pPr>
              <w:spacing w:after="60"/>
            </w:pPr>
            <w:r>
              <w:rPr>
                <w:rFonts w:ascii="Helvetica" w:hAnsi="Helvetica"/>
                <w:b/>
                <w:color w:val="224C44"/>
                <w:sz w:val="19"/>
              </w:rPr>
              <w:t>Wandern zu zweit</w:t>
            </w:r>
          </w:p>
        </w:tc>
        <w:tc>
          <w:tcPr>
            <w:tcW w:type="dxa" w:w="6480"/>
          </w:tcPr>
          <w:p>
            <w:pPr>
              <w:spacing w:after="60"/>
            </w:pPr>
            <w:r>
              <w:rPr>
                <w:rFonts w:ascii="Georgia" w:hAnsi="Georgia"/>
                <w:color w:val="282828"/>
                <w:sz w:val="19"/>
              </w:rPr>
              <w:t>4–5 Std. / 500–700 Hm (Rosengartenschlucht, Piburger See, Zirbenweg)</w:t>
            </w:r>
          </w:p>
        </w:tc>
      </w:tr>
      <w:tr>
        <w:tc>
          <w:tcPr>
            <w:tcW w:type="dxa" w:w="2880"/>
          </w:tcPr>
          <w:p>
            <w:pPr>
              <w:spacing w:after="60"/>
            </w:pPr>
            <w:r>
              <w:rPr>
                <w:rFonts w:ascii="Helvetica" w:hAnsi="Helvetica"/>
                <w:b/>
                <w:color w:val="224C44"/>
                <w:sz w:val="19"/>
              </w:rPr>
              <w:t>Kultur &amp; Kulinarik</w:t>
            </w:r>
          </w:p>
        </w:tc>
        <w:tc>
          <w:tcPr>
            <w:tcW w:type="dxa" w:w="6480"/>
          </w:tcPr>
          <w:p>
            <w:pPr>
              <w:spacing w:after="60"/>
            </w:pPr>
            <w:r>
              <w:rPr>
                <w:rFonts w:ascii="Georgia" w:hAnsi="Georgia"/>
                <w:color w:val="282828"/>
                <w:sz w:val="19"/>
              </w:rPr>
              <w:t>Archäologie (Piller Sattel &amp; Ötzi), Zaha Hadid in Innsbruck, Kaiserschmarrn</w:t>
            </w:r>
          </w:p>
        </w:tc>
      </w:tr>
      <w:tr>
        <w:tc>
          <w:tcPr>
            <w:tcW w:type="dxa" w:w="2880"/>
          </w:tcPr>
          <w:p>
            <w:pPr>
              <w:spacing w:after="60"/>
            </w:pPr>
            <w:r>
              <w:rPr>
                <w:rFonts w:ascii="Helvetica" w:hAnsi="Helvetica"/>
                <w:b/>
                <w:color w:val="224C44"/>
                <w:sz w:val="19"/>
              </w:rPr>
              <w:t>Der Samstagslauf</w:t>
            </w:r>
          </w:p>
        </w:tc>
        <w:tc>
          <w:tcPr>
            <w:tcW w:type="dxa" w:w="6480"/>
          </w:tcPr>
          <w:p>
            <w:pPr>
              <w:spacing w:after="60"/>
            </w:pPr>
            <w:r>
              <w:rPr>
                <w:rFonts w:ascii="Georgia" w:hAnsi="Georgia"/>
                <w:color w:val="282828"/>
                <w:sz w:val="19"/>
              </w:rPr>
              <w:t>16,9 km / 800 Hm TS16 (35 € Startgeld, vor dem Mittagessen beendet)</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